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F-5706/2018 vom 23. Oktober 2018</w:t>
      </w:r>
    </w:p>
    <w:p>
      <w:r>
        <w:t>Bundesverwaltungsgericht, 2018-10-23, DE</w:t>
      </w:r>
    </w:p>
    <w:p>
      <w:r>
        <w:rPr>
          <w:b/>
        </w:rPr>
        <w:t xml:space="preserve">Quelle: </w:t>
      </w:r>
      <w:r>
        <w:t>https://mcp.opencaselaw.ch/entscheid/bvger_F-5706_2018</w:t>
      </w:r>
    </w:p>
    <w:p>
      <w:r>
        <w:t>FR: TAF F-5706/2018 du 23 octobre 2018</w:t>
      </w:r>
    </w:p>
    <w:p>
      <w:r>
        <w:t>IT: TAF F-5706/2018 del 23 ottobre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und so auch vorliegend - endgültig (Art. 105 AsylG; Art. 83 Bst. d Ziff. 1 BGG). Das Verfahren richtet sich nach dem VwVG, soweit das VGG und das AsylG nichts anderes bestimmen (Art. 37 VGG und Art. 6 AsylG).</w:t>
      </w:r>
    </w:p>
    <w:p>
      <w:r>
        <w:rPr>
          <w:b/>
        </w:rPr>
        <w:t>E. 1.2</w:t>
      </w:r>
    </w:p>
    <w:p>
      <w:r>
        <w:t>Der Beschwerdeführer ist als Verfügungsadressat zur Beschwerde legitimiert (Art. 105 AsylG). Auch die übrigen Sachurteilsvoraussetzungen sind erfüllt, weshalb auf die Beschwerde einzutreten ist (vgl. Art. 108 Abs. 2 AsylG und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4.1</w:t>
      </w:r>
    </w:p>
    <w:p>
      <w:r>
        <w:t>Den vorliegenden Akten ist zu entnehmen, dass der Beschwerdeführer am 12. Februar 2018 in Österreich ein Asylgesuch gestellt hatte, das am 13. August 2018 in zweiter Instanz rechtskräftig abgewiesen wurde (SEM-act. A12/2; A5/15 Ziff. 2.06). Die österreichischen Behörden stimmten dem Gesuch des SEM um Übernahme gemäss Art. 18 Abs. 1 Bst. d Dublin-III-VO am 20. September 2018 zu (SEM-act. A16/2).</w:t>
      </w:r>
    </w:p>
    <w:p>
      <w:r>
        <w:rPr>
          <w:b/>
        </w:rPr>
        <w:t>E. 4.2</w:t>
      </w:r>
    </w:p>
    <w:p>
      <w:r>
        <w:t>Die grundsätzliche Zuständigkeit Österreichs ist somit gegeben.</w:t>
      </w:r>
    </w:p>
    <w:p>
      <w:r>
        <w:rPr>
          <w:b/>
        </w:rPr>
        <w:t>E. 5.1</w:t>
      </w:r>
    </w:p>
    <w:p>
      <w:r>
        <w:t>Im Licht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w:t>
      </w:r>
    </w:p>
    <w:p>
      <w:r>
        <w:rPr>
          <w:b/>
        </w:rPr>
        <w:t>E. 5.2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Den Akten können keine Hinweise entnommen werden,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Österreich gemäss den Akten nicht zu einer Kettenabschiebung, welche gegen das Non-Refoulement-Prinzip verstossen würde, wie es in Art. 33 FK verankert ist (und sich ausserdem aus Art. 4 der EU-Grundrechtecharta, Art. 3 EMRK oder Art. 3 FoK ableiten lässt).</w:t>
      </w:r>
    </w:p>
    <w:p>
      <w:r>
        <w:rPr>
          <w:b/>
        </w:rPr>
        <w:t>E. 5.4</w:t>
      </w:r>
    </w:p>
    <w:p>
      <w:r>
        <w:t>Auch die vom Beschwerdeführer geäusserten Befürchtungen, der Vater seiner Partnerin könne ihm in Österreich etwas antun, lassen kein konkretes und ernsthaftes Risiko für die Gefahr einer unmenschlichen oder entwürdigenden Behandlung im Sinne des Artikels 4 der EU-Grundrechtecharta erkennen. Österreich verfügt zudem als Rechtsstaat über eine funktionierende Polizeibehörde, an die sich der Beschwerdeführer bei entsprechendem Schutzbedarf wenden kann.</w:t>
      </w:r>
    </w:p>
    <w:p>
      <w:r>
        <w:rPr>
          <w:b/>
        </w:rPr>
        <w:t>E. 5.5</w:t>
      </w:r>
    </w:p>
    <w:p>
      <w:r>
        <w:t>Die anlässlich der BzP vom 30. Juli 2018 geäusserten gesundheitlichen Beschwerden bezüglich eines in der Vergangenheit unbehandelten Bruchs in der rechten Hand, der ihn jedoch nicht störe, sowie die im Empfangs- und Verfahrenszentrum Altstätten erfolgten Behandlungen aufgrund von Zahnschmerzen und Schlafproblemen stehen einer Überstellung ebenfalls nicht entgegen (vgl. SEM-act. A5/15 Ziff. 8.02 und A7/2). Der Beschwerdeführer macht denn auch nicht geltend, die Überstellung nach Österreich setze ihn einer Gefahr für seine Gesundheit aus und verletze damit Art. 3 EMRK. Die gesundheitlichen Probleme sind auch nicht von einer derartigen Schwere, dass aus humanitären Gründen von einer Überstellung abgesehen werden müsste. Im Übrigen liegen keine Hinweise vor, wonach Österreich dem Beschwerdeführer bei allfällig auftretenden gesundheitlichen Beschwerden eine adäquate medizinische Behandlung verweigern würde.</w:t>
      </w:r>
    </w:p>
    <w:p>
      <w:r>
        <w:rPr>
          <w:b/>
        </w:rPr>
        <w:t>E. 5.6</w:t>
      </w:r>
    </w:p>
    <w:p>
      <w:r>
        <w:t>Unter diesen Umständen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Gemäss Praxis des Bundesverwaltungsgerichts verfügt das SEM bei der Anwendung der Kann-Bestimmung von Art. 29a Abs. 3 AsylV 1 über einen Ermessensspielraum (vgl. BVGE 2015/9 E. 7 f.). Dabei überprüft das Gericht den vorinstanzlichen Verzicht der Anwendung von Art. 29a Abs. 3 AsylV 1 nicht auf Angemessenheit hin; das Gericht beschränkt seine Beurteilung darauf, ob das SEM den Sachverhalt diesbezüglich korrekt und vollständig erhoben, allen wesentlichen Umständen Rechnung getragen und seinen Ermessensspielraum genutzt hat (vgl. Art. 106 Abs. 1 Bst. a und b AsylG).</w:t>
      </w:r>
    </w:p>
    <w:p>
      <w:r>
        <w:rPr>
          <w:b/>
        </w:rPr>
        <w:t>E. 6.2</w:t>
      </w:r>
    </w:p>
    <w:p>
      <w:r>
        <w:t>Der Beschwerdeführer weist in diesem Zusammenhang anlässlich seiner BzP auf seine religiös geschlossene Ehe mit einer georgischen Staatsangehörigen hin, die gemäss seinen Äusserungen in der BzP vor "etwa einem Jahr" in Bozen stattgefunden habe. Sie hätten sich im Internet kennengelernt und seit Oktober 2017 zusammengelebt (SEM-act. A5/15 Ziff. 1.14). Es ist diesbezüglich zu prüfen, ob der Beschwerdeführer sich auf den Schutz von Art. 8 EMRK berufen kann.</w:t>
      </w:r>
    </w:p>
    <w:p>
      <w:r>
        <w:rPr>
          <w:b/>
        </w:rPr>
        <w:t>E. 6.3</w:t>
      </w:r>
    </w:p>
    <w:p>
      <w:r>
        <w:t>Der Beschwerdeführer behauptet die religiöse Eheschliessung lediglich und bringt den in der BzP in Aussicht gestellten Eheschein nicht bei. Die Berufung auf die Ehe scheitert nicht nur am Nachweis, sondern auch am faktisch gefestigten Aufenthaltsrecht, das für eine Berufung auf Art. 8 EMRK grundsätzlich erforderlich ist (vgl. BGE 144 II 1 E. 6.1; zu religiös geschlossenen Ehen Urteil des BVGer F-1668/2018 vom 27. März 2018 S. 7).</w:t>
      </w:r>
    </w:p>
    <w:p>
      <w:r>
        <w:rPr>
          <w:b/>
        </w:rPr>
        <w:t>E. 6.4</w:t>
      </w:r>
    </w:p>
    <w:p>
      <w:r>
        <w:t>Die angefochtene Verfügung ist unter diesem Blickwinkel nicht zu beanstanden; insbesondere sind den Akten keine Hinweise auf einen Ermessensmissbrauch oder ein Über- respektive Unterschreiten des Ermessens zu entnehmen, weshalb sich das Bundesverwaltungsgericht weiterer Ausführungen zur Frage eines Selbsteintritts enthält.</w:t>
      </w:r>
    </w:p>
    <w:p>
      <w:r>
        <w:rPr>
          <w:b/>
        </w:rPr>
        <w:t>E. 6.5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Somit bleibt Österreich der für die Behandlung der Asylgesuche des Beschwerdeführers zuständige Mitgliedstaat gemäss Dublin-III-VO. Österreich ist verpflichtet, das Asylverfahren gemäss Art. 23, 24, 25 und 29 Dublin-III-VO wiederaufzunehmen.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9</w:t>
      </w:r>
    </w:p>
    <w:p>
      <w:r>
        <w:t>Nach dem Gesagten ist die Beschwerde abzuweisen und die Verfügung des SEM zu bestätigen.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