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F-5706/2016 vom 6. Juli 2018</w:t>
      </w:r>
    </w:p>
    <w:p>
      <w:r>
        <w:t>Bundesverwaltungsgericht, 2018-07-06, DE</w:t>
      </w:r>
    </w:p>
    <w:p>
      <w:r>
        <w:rPr>
          <w:b/>
        </w:rPr>
        <w:t xml:space="preserve">Quelle: </w:t>
      </w:r>
      <w:r>
        <w:t>https://mcp.opencaselaw.ch/entscheid/bvger_F-5706_2016</w:t>
      </w:r>
    </w:p>
    <w:p>
      <w:r>
        <w:t>FR: TAF F-5706/2016 du 6 juillet 2018</w:t>
      </w:r>
    </w:p>
    <w:p>
      <w:r>
        <w:t>IT: TAF F-5706/2016 del 6 luglio 2018</w:t>
      </w:r>
    </w:p>
    <w:p>
      <w:pPr>
        <w:pStyle w:val="Heading2"/>
      </w:pPr>
      <w:r>
        <w:t>Regeste</w:t>
      </w:r>
    </w:p>
    <w:p>
      <w:r>
        <w:t>Personen des Asylrechts</w:t>
      </w:r>
    </w:p>
    <w:p>
      <w:pPr>
        <w:pStyle w:val="Heading2"/>
      </w:pPr>
      <w:r>
        <w:t>Erwägungen</w:t>
      </w:r>
    </w:p>
    <w:p>
      <w:r>
        <w:rPr>
          <w:b/>
        </w:rPr>
        <w:t>E. 1.1</w:t>
      </w:r>
    </w:p>
    <w:p>
      <w:r>
        <w:t>Verfügungen des SEM, welche die Zustimmung zur Erteilung einer Aufenthaltsbewilligung gemäss Art. 14 Abs. 2 AsylG betreffen, sind mit Beschwerde beim Bundesverwaltungsgericht anfechtbar (Art. 31 ff. VGG i.V.m. Art. 5 VwVG). Dieses entscheidet endgültig (Art. 1 Abs. 2 VGG i.V.m. Art. 83 Bst. c Ziff. 2 BGG).</w:t>
      </w:r>
    </w:p>
    <w:p>
      <w:r>
        <w:rPr>
          <w:b/>
        </w:rPr>
        <w:t>E. 1.2</w:t>
      </w:r>
    </w:p>
    <w:p>
      <w:r>
        <w:t>Das Rechtsmittelverfahren richtet sich nach dem Verwaltungsverfahrensgesetz, dem Verwaltungsgerichtsgesetz und dem Bundesgerichtsgesetz, soweit das Asylgesetz nichts anderes bestimmt (Art. 6 AsylG).</w:t>
      </w:r>
    </w:p>
    <w:p>
      <w:r>
        <w:rPr>
          <w:b/>
        </w:rPr>
        <w:t>E. 1.3</w:t>
      </w:r>
    </w:p>
    <w:p>
      <w:r>
        <w:t>Als Adressat der Verfügung ist der Beschwerdeführer zu deren Anfechtung legitimiert (Art. 48 Abs. 1 VwVG). Auf seine frist- und formgerechte Beschwerde ist einzutreten (Art. 50 und 52 VwVG), allerdings nur, soweit er die Aufhebung der angefochtenen Verfügung verlangt. Die Erteilung einer Aufenthaltsbewilligung, welche er ebenfalls beantragt, fällt im vorliegenden Fall nicht in die Kompetenz des SEM (vgl. auch unten E. 3).</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AuG (SR 142.20) bestehen (Bst. d).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Uebersax/Rudin/ Hugi Yar/Geiser [Hrsg.], Ausländerrecht, 2. Auflage, Basel 2009, N 9.35; zur Rechtsnatur dieses Verfahrens sowie zur Stellung der betroffenen Person: BGE 137 I 128 E. 3.1.2 m.H.).</w:t>
      </w:r>
    </w:p>
    <w:p>
      <w:r>
        <w:rPr>
          <w:b/>
        </w:rPr>
        <w:t>E. 4.1</w:t>
      </w:r>
    </w:p>
    <w:p>
      <w:r>
        <w:t>Der Beschwerdeführer hält sich seit Einleitung des zwischenzeitlich abgeschlossenen Asylverfahrens mehr als fünf Jahre ununterbrochen in der Schweiz auf, wobei sein Aufenthaltsort den Angaben der kantonalen Migrationsbehörde zufolge (vgl. Sachverhalt C) stets bekannt war. Widerrufsgründe im Sinne von Art. 62 AuG bestehen in seinem Fall offensichtlich nicht, weshalb die in Art. 14 Abs. 2 Bst. a, b und d AsylG genannten Voraussetzungen erfüllt sind und demzufolge nur zu prüfen bleibt, ob wegen der fortgeschrittenen Integration - so Art. 14 Abs. 2 Bst. c AsylG - ein schwerwiegender persönlicher Härtefall vorliegt.</w:t>
      </w:r>
    </w:p>
    <w:p>
      <w:r>
        <w:rPr>
          <w:b/>
        </w:rPr>
        <w:t>E. 4.2</w:t>
      </w:r>
    </w:p>
    <w:p>
      <w:r>
        <w:t>Der so bezeichnete Härtefallbegriff wird in Art. 31 Abs. 1 der Verordnung vom 24. Oktober 2007 über Zulassung, Aufenthalt und Erwerbstätigkeit (VZAE, SR 142.201) einer Kriterienliste vorangestellt, welche der Verordnungsgeber sowohl auf Art. 14 Abs. 2 AsylG als auch auf den Anwendungsbereich des AuG - Art. 30 Abs. 1 Bst. b, Art. 50 Abs. 1 Bst. b und Art. 84 Abs. 5 AuG - angewendet wissen will (zur Auslegungsordnung: BVGE 2009/40 E. 5 m.H.).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Herkunftsland (Bst. g).</w:t>
      </w:r>
    </w:p>
    <w:p>
      <w:r>
        <w:rPr>
          <w:b/>
        </w:rPr>
        <w:t>E. 5.1</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5.2</w:t>
      </w:r>
    </w:p>
    <w:p>
      <w:r>
        <w:t>Die Anerkennung als Härtefall setzt nicht zwingend voraus, dass die Anwesenheit in der Schweiz das einzige Mittel zur Verhinderung einer persönlichen Notlage darstellt. Auch genügt es nicht, wenn sich die ausländische Person während längerer Zeit in der Schweiz aufgehalten hat, sich in sozialer und beruflicher Hinsicht gut integriert hat und sich nichts hat zuschulden kommen lassen (vgl. Urteil des BVGer C-4460/2014 vom 7. Oktober 2015 E. 6 sowie Blaise Vuille/Claudine Schenk, L'article 14 alinéa 2 de la loi sur l'asile et la notion d'intégration, in: Cesla Amarelle [Hrsg.], L'intégration des étrangers à l'épreuve du droit suisse, Bern 2012, S. 121 f.). Vielmehr bedarf es einer so engen Beziehung zur Schweiz, dass es der betroffenen Person nicht zugemutet werden kann, im Ausland, insbesondere in ihrem Heimatland, zu leben (vgl. Urteil des BVGer C-301/2014 vom 8. Juni 2015 E. 6.4 und E. 6.5: hier gab nicht die insgesamt gute Integration der Familie, sondern die ausserordentlich weit fortgeschrittene Integration des Sohnes den Ausschlag). Berufliche, freundschaftliche und nachbarschaftliche Beziehungen, welche die betroffene Person während ihres Aufenthalts in der Schweiz knüpfen konnte, genügen demzufolge gewöhnlich nicht (BGE 130 II 39 E. 3; BVGE 2007/45 E. 4.2). Die aufgeführten hohen Anforderungen können im Falle eines sehr langen Aufenthalts ausnahmsweise reduziert sein. Allerdings darf der betroffenen Person die lange Aufenthaltsdauer - wie z. B. bei missbräuchlich verzögerter Ausreise - nicht vorwerfbar sein. Von ihr wird zudem erwartet, dass sie finanziell unabhängig, sozial und beruflich gut - wenn auch nicht ausserordentlich gut - integriert ist und sich klaglos verhalten hat (vgl. Urteil des BVGer C-2766/2012 vom 28. März 2014 E. 5.2 m.H. sowie BGE 124 II 110 E. 3; letzterer betrifft die altrechtliche Regelung von Art. 13 Bst. f der bis zum 31. Dezember 2007 geltenden Verordnung vom 6. Oktober 1986 über die Begrenzung der Zahl der Ausländer [Begrenzungsverordnung, BVO, AS 1986 1791]).</w:t>
      </w:r>
    </w:p>
    <w:p>
      <w:r>
        <w:rPr>
          <w:b/>
        </w:rPr>
        <w:t>E. 5.3</w:t>
      </w:r>
    </w:p>
    <w:p>
      <w:r>
        <w:t>Die Zulassungsregelung von Art. 14 Abs. 2 AsylG bezweckt nicht den Schutz ausländischer Personen gegen die Folgen eines Krieges oder des Missbrauchs staatlicher Gewalt. Eine dahingehende Argumentation betrifft daher in erster Linie die Frage der Asylgewährung bzw. im Falle der verfügten Wegweisung die Beurteilung von Vollzugshindernissen (vgl. Art. 83 AuG).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 begründen können, ist in Kauf zu nehmen (vgl. Urteil des BVGer C-3887/2009 vom 30. Mai 2012 E. 4.3).</w:t>
      </w:r>
    </w:p>
    <w:p>
      <w:r>
        <w:rPr>
          <w:b/>
        </w:rPr>
        <w:t>E. 6</w:t>
      </w:r>
    </w:p>
    <w:p>
      <w:r>
        <w:t>Unter Bezugnahme auf die beim Beschwerdeführer in Betracht fallenden Kriterien von Art. 31 Abs. 1 VZAE hat die Vorinstanz eine Gesamtwürdigung seiner Situation vorgenommen und einen schwerwiegenden persönlichen Härtefall verneint. Die Richtigkeit dieser Schlussfolgerung hat der Beschwerdeführer bestritten.</w:t>
      </w:r>
    </w:p>
    <w:p>
      <w:r>
        <w:rPr>
          <w:b/>
        </w:rPr>
        <w:t>E. 6.1</w:t>
      </w:r>
    </w:p>
    <w:p>
      <w:r>
        <w:t>Ob im Falle des Beschwerdeführers von einer Integration, Kriterium gemäss Art. 31 Abs. 1 Bst. a VZAE, gesprochen werden kann, ist fraglich. Während seines langjährigen Aufenthalts in der Schweiz ist er nie einer Erwerbstätigkeit nachgegangen, obwohl ihm dies - dem Gesetzeswortlaut von Art. 43 Abs. 1 und Abs. 2 AsylG zufolge und entgegen seiner Darstellung - im Zeitraum von Januar 2010 bis Juni 2013 möglich gewesen wäre. Sonstige Integrationsbemühungen sind nur insoweit erkennbar, als er sich um den Erwerb der deutschen Sprache gekümmert hat und seit März 2015 - allerdings ohne Vereinsmitgliedschaft - an einer Männerturnprobe teilnimmt (vgl. sein an die kantonale Migrationsbehörde gerichtetes Härtefallgesuch vom 23. April 2015 nebst Beilagen [Bestätigung des Männerturnvereins, Sprachzertifikat für das Niveau A2]; siehe ZEMIS-Vorakten S. 30 - 35). Beides spricht zwar grundsätzlich für seine Kontaktfreude und die Bereitschaft zu sozialem Beisammensein; allerdings fehlen weitere Anhaltspunkte, die auf eine gelungene Integration schliessen lassen könnten. Der Beschwerdeführer bestreitet seine nur geringfügige Teilhabe am gesellschaftlichem Leben grundsätzlich nicht, verweist jedoch auf seine persönlichen Lebensumstände einer Partnerschaft mit Kind, welche ihm die soziale Integration bisher erschwert hätten. Seine dahingehenden minimalen Bemühungen lassen sich, anders als er meint, dadurch aber nicht kompensieren. Insbesondere ist festzustellen, dass das Kriterium der Integration - mehr als die übrigen Kriterien - bei der in Frage stehenden Härtefallregelung ausschlaggebend ist. In dieser Hinsicht wird, von einzelnen Ausnahmen abgesehen, nicht nur eine durchschnittliche, sondern eine ausserordentliche Integration im Sinne einer Verwurzelung erwartet (vgl. E. 5.2). Von beidem ist der Beschwerdeführer - auch seinem eigenen Vorbringen zufolge - weit entfernt. Abgesehen davon ist nicht nachvollziehbar, warum ihm neben der Kinderbetreuung keine weitere Zeit - nicht einmal für die Intensivierung seine Sprachkenntnisse - geblieben sein soll; immerhin ergibt sich aus seinem eigenen Vorbringen, dass seine Tochter anfangs noch von beiden Elternteilen betreut wurde und später eine Kita besuchte (vgl. S. 7 der Beschwerdeschrift).</w:t>
      </w:r>
    </w:p>
    <w:p>
      <w:r>
        <w:rPr>
          <w:b/>
        </w:rPr>
        <w:t>E. 6.2</w:t>
      </w:r>
    </w:p>
    <w:p>
      <w:r>
        <w:t>Art. 31 Abs. 1 Bst. b VZAE nennt als weiteres Kriterium die Respektierung der Rechtsordnung. Dieses Kriterium erfüllt der Beschwerdeführer, der seit dem rechtskräftigen Abschluss seines Asylverfahrens zur Ausreise verpflichtet ist, nicht. Vor diesem Hintergrund ist auch sein langjähriger Aufenthalt in der Schweiz - er beläuft sich bis Ende September 2018 auf neun Jahre - kein Aspekt, der zu seinen Gunsten zu berücksichtigen wäre, fällt doch das in Art. 31 Abs. 1 Bst. e VZAE aufgeführte Kriterium der Dauer der Anwesenheit bei rechtswidrigen bzw. missbräuchlichen Aufenthalten ausser Betracht (vgl. E. 5.3). Im Falle des Beschwerdeführers steht fest, dass sein rechtmässiger Aufenthalt in der Schweiz vom 1. Oktober 2009 bis zum 18. Juni 2013 dauerte, d.h. nur die Zeitspanne des Asylverfahrens umfasste (vgl. Sachverhalt A); seine weitere, nur geduldete Anwesenheit beruht auf verfahrensrechtlichen Gründen und ist daher nicht mehr mass-geblich. Ohnehin wäre der Aspekt der Anwesenheitsdauer nur dann relevant, wenn mit ihm eine genügende Integration bzw. Verwurzelung einherginge; dies ist angesichts der vorhergehenden Erwägungen (E. 6. 1) zu verneinen.</w:t>
      </w:r>
    </w:p>
    <w:p>
      <w:r>
        <w:rPr>
          <w:b/>
        </w:rPr>
        <w:t>E. 6.3</w:t>
      </w:r>
    </w:p>
    <w:p>
      <w:r>
        <w:t>Damit bleibt zu fragen, ob das in Art. 31 Abs. 1 Bst. c VZAE aufgeführte Kriterium der familiären Verhältnisse für den Beschwerdeführer zu einer Härtefallregelung führen kann. Hierzu ist festzustellen, dass er im Zeitpunkt seiner Rechtsmitteleingabe offensichtlich noch mit seiner Partnerin B._______ und der gemeinsamen Tochter zusammen lebte. Wie sich aus seiner am 22. Dezember 2016 eingereichten Replik ergibt, wurde seine Partnerschaft aber mittlerweile wieder aufgelöst, weshalb der Beschwerdeführer die ursprünglich geltend gemachten familiären Gründe jetzt nur noch auf die Beziehung zu seiner Tochter beschränkt. Ungeachtet der Intensität dieser Beziehung ergeben sich aufgrund der aufenthaltsrechtlichen Situation der Tochter keine Gründe, welche im Rahmen von Art. 14 Abs. 2 AsylG die Erteilung einer Aufenthaltsbewilligung rechtfertigen würden. Das von Art. 8 EMRK bzw. Art. 13 BV geschützte Recht auf Familienleben wird - selbst wenn die familiäre Beziehung tatsächlich gelebt wird - nämlich nur dann berührt, wenn der zur Ausreise Verpflichtete es nicht andernorts pflegen kann und der in der Schweiz verbleibende Familienangehörige über ein gefestigtes Anwesenheitsrecht verfügt (vgl. BGE 141 II 169 E. 5.2.1 m.H.). Letztgenannte Voraussetzung ist bei der Tochter des Beschwerdeführers jedoch nicht erfüllt. Selbst wenn die von ihr und ihrer Mutter erhobene Beschwerde gegen den Widerruf der vorläufigen Aufnahme (vgl. Sachverhalt F) vom Bundesverwaltungsgericht gutgeheissen würde, bliebe die bisherige Aufenthaltsregelung bestehen. Beim Status der vorläufigen Aufnahme handelt es sich aber schon begrifflich nicht um ein gefestigtes Anwesenheitsrecht. Soweit sich der Beschwerdeführer auf das Übereinkommen über die Rechte des Kindes beruft, ist festzustellen, dass sich daraus keine individuellen Ansprüche ableiten lassen (vgl. BGE 135 I 153 E. 2.2.2 m.H.). Abgesehen davon kann der Schutzbereich des von ihm zitierten Art. 3 des Übereinkommens auch nicht über denjenigen von Art. 8 EMRK hinausgehen.</w:t>
      </w:r>
    </w:p>
    <w:p>
      <w:r>
        <w:rPr>
          <w:b/>
        </w:rPr>
        <w:t>E. 6.4</w:t>
      </w:r>
    </w:p>
    <w:p>
      <w:r>
        <w:t>Die finanziellen Verhältnisse sowie der Wille zur Teilhabe am Wirtschaftsleben und zum Erwerb von Bildung (Art. 31 Abs. 1 Bst. d VZAE) sind keine Kriterien, denen die Vorinstanz Beachtung geschenkt hat. Auch im vorliegenden Rechtsmittelverfahren braucht darauf nicht näher eingegangen zu werden. Der Beschwerdeführer ist nach der Trennung von seiner erwerbstätigen Partnerin wieder auf Nothilfe angewiesen; seine Bemühungen um Erwerbstätigkeit und Bildung sind unter dem Aspekt der Integration bereits in den obigen Erwägungen (E. 6.1) erläutert worden. Beides fällt nicht ins Gewicht.</w:t>
      </w:r>
    </w:p>
    <w:p>
      <w:r>
        <w:rPr>
          <w:b/>
        </w:rPr>
        <w:t>E. 6.5</w:t>
      </w:r>
    </w:p>
    <w:p>
      <w:r>
        <w:t>Das in Art. 31 Abs. 1 Bst. f VZAE genannte Kriterium des Gesundheitszustandes erfordert im vorliegenden Fall ebenfalls keine weitere Prüfung. Zur Begründung seiner Begehren hat der Beschwerdeführer keine gesundheitlichen Probleme, welche in die Gesamtwürdigung einzubeziehen wären, geltend gemacht,</w:t>
      </w:r>
    </w:p>
    <w:p>
      <w:r>
        <w:rPr>
          <w:b/>
        </w:rPr>
        <w:t>E. 6.6</w:t>
      </w:r>
    </w:p>
    <w:p>
      <w:r>
        <w:t>Zu den Möglichkeiten für eine Wiedereingliederung im Herkunftsstaat (Art. 31 Abs. 1 Bst. g VZAE) hat sich der Beschwerdeführer ausführlich und unter Bezugnahme auf verschiedene abrufbare Informationen zu seinem Heimatland geäussert. Das Kriterium der Wiedereingliederungsmöglichkeiten unterliegt allerdings keiner separaten Beurteilung, sondern wird nur im Kontext der Integration dahingehend geprüft, ob die ausländische Person eine so enge Beziehung zur Schweiz entwickelt hat, dass ihr die Rückkehr in ihr Heimatland nicht mehr zugemutet werden kann (vgl. E. 5.2). Im Falle des Beschwerdeführers erübrigt sich angesichts der fehlenden Integration eine solche Prüfung. Der bestehenden Verpflichtung zur Ausreise hält er vor allem - so auch zuletzt in seiner Replik vom 22. Dezember 2016 - eine Schilderung der Sicherheitslage und der Menschenrechtssituation in Äthiopien entgegen. Sein gegen den Wegwei-sungsvollzug gerichtetes Vorbringen ist jedoch im Beschwerdeverfahren D-3150/2015, welches die Asylabteilung IV mit Vollzugsstopp vom 19. Mai 2015 faktisch sistiert hat, zu prüfen (vgl. E. 5.3).</w:t>
      </w:r>
    </w:p>
    <w:p>
      <w:r>
        <w:rPr>
          <w:b/>
        </w:rPr>
        <w:t>E. 7</w:t>
      </w:r>
    </w:p>
    <w:p>
      <w:r>
        <w:t>Unter Berücksichtigung des Kriterienkatalogs von Art. 31 Abs. 1 VZAE ist zusammenfassend festzustellen, dass beim Beschwerdeführer kein schwerwiegender persönlicher Härtefall vorliegt. Die Vorinstanz hat demzufolge ihre Zustimmung zur Erteilung einer Aufenthaltsbewilligung nach Art. 14 Abs. 2 AsylG zu Recht verweigert (vgl. Art. 49 VwVG). Die Beschwerde ist daher abzuweisen.</w:t>
      </w:r>
    </w:p>
    <w:p>
      <w:r>
        <w:rPr>
          <w:b/>
        </w:rPr>
        <w:t>E. 8</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