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F-5701/2018 vom 9. Oktober 2019</w:t>
      </w:r>
    </w:p>
    <w:p>
      <w:r>
        <w:t>Bundesverwaltungsgericht, 2019-10-09, FR</w:t>
      </w:r>
    </w:p>
    <w:p>
      <w:r>
        <w:rPr>
          <w:b/>
        </w:rPr>
        <w:t xml:space="preserve">Quelle: </w:t>
      </w:r>
      <w:r>
        <w:t>https://mcp.opencaselaw.ch/entscheid/bvger_F-5701_2018</w:t>
      </w:r>
    </w:p>
    <w:p>
      <w:r>
        <w:t>FR: TAF F-5701/2018 du 9 octobre 2019</w:t>
      </w:r>
    </w:p>
    <w:p>
      <w:r>
        <w:t>IT: TAF F-5701/2018 del 9 ottobre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L'invitant, qui a pris part à la procédure devant l'autorité inférieure, a qualité pour recourir (art. 48 al. 1 PA). Présenté dans la forme et les délais prescrits par la loi, le recours dirigé contre la décision du SEM du 19 septembre 2018 est recevable (cf. art. 50 et 52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l'espèce, l'autorité intimée a rendu la décision qui fait l'objet du présent recours en date du 19 septembre 2018, c'est-à-dire avant l'entrée en vigueur du nouveau droit le 1er janvier 2019. En l'absence de dispositions transitoires particulières, il convient de se référer aux règles générales régissant la détermination du droit applicable. Comme précisé dans sa jurisprudence,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Par conséquent, il y a lieu, sur le plan matériel, d'appliquer les dispositions topiques dans leur teneur en vigueur jusqu'au 31 décembre 2018. Par souci de clarté, le Tribunal continuera donc à utiliser l'ancienne dénomination « LEtr » (cf. notamment arrêts du TAF F-6407/2017 du 29 juillet 2019 consid. 3 et F-6416/2018 du 21 mai 2019 consid. 2.4). Par ailleurs, il convient de relever que l'ordonnance du 22 octobre 2008 sur l'entrée et l'octroi de visas (aOEV) a été abrogée et remplacée par l'ordonnance du 15 août 2018 sur l'entrée et l'octroi de visas (OEV, RS 142.204), entrée en vigueur le 15 septembre 2018, soit six jours avant la notification de la décision litigieuse. Partant, la nouvelle ordonnance est applicable(cf. art. 70 et 71 OEV). 4.La politique des autorités suisses en matière de visa joue un rôle très important dans la prévention de l'immigration clandestine (cf. à ce sujetle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2014/1 consid. 4.1.1).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2014/1consid. 4.1.1 et 4.1.5 et ATAF 2011/48 consid. 4.1). 5.Dans un premier temps, il y a lieu de rappeler les conditions générales posées à l'entrée en Suisse pour un séjour n'excédant pas 90 jours (cf. consid. 5.1 infra). Les conditions des moyens de subsistance suffisants et de la garantie du retour ponctuel dans le pays d'origine à l'issue du séjour envisagé seront exposées (cf. consid. 5.2 et 5.3 infra). Enfin, il sera fait mention du visa à validité territoriale limitée (cf. consid. 5.4 infra) et constaté que l'invité est soumis à l'obligation du visa (cf. consid. 5.5 infra). 5.1 Les dispositions sur la procédure en matière de visa ainsi que sur l'entrée en Suisse et la sortie de ce pays ne s'appliquent que dans la mesure où les accords d'association à Schengen, qui sont mentionnés àl'Annexe 1, ch. 1 LEtr, ne contiennent pas de dispositions divergentes (cf. art. 2 al. 4 et 5 LEtr). S'agissant des conditions d'entrée en Suisse pour un court séjour (soit un séjour n'excédant pas 90 jours sur toute période de 180 jours), l'art. 3 al. 1 OEV - qui ne se distingue d'ailleurs pas matériellement de sa version antérieure sur ce point -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[UE]n° 2017/458, JO L 74 du 18 mars 2017, p. 1).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En outre, les demandeurs d'un visa de court séjour doivent prouver qu'ils sont titulaires d'une assurance médicale de voyage au sens de l'art. 15 du code des visas (art. 17 al. 1 OEV). 5.2 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 L'art. 3 al. 2 et 3 OEV, dont la teneur ne se distingue pas fondamentalement de l'ancienne, prévoit que l'argent en espèces ou des avoirs bancaires, une déclaration de prise en charge ou une autre garantie peuvent être acceptés comme preuves de moyens financiers suffisants.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(art. 15 al. 1 et 5 OEV). 5.3 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En outre, dans deux arrêts récents publiés aux ATAF, le Tribunal de céans, se référant aux art. 5 al. 2 LEtr et 6 par. 1 let. b et par. 3 du code frontières Schengen, a considéré que le versement d'une caution auprès d'un établissement bancaire en Suisse constituait une mesure supplémentaire qui pouvait être ordonnée par les autorités pour garantir, dans certaines circonstances, un retour ponctuel du requérant dans son pays d'origine (ATAF 2019 VII/1 consid. 9.2 et ATAF 2018 VII/6 consid. 8.3 ; cf. également arrêt du TAF F-4669/2017 du 17 mai 2019 consid. 5.4). 5.4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 5.5 Le règlement (UE) 2018/1806 du Parlement européen et du Conseil du 14 novembre 2018 (JO L 303 du 28 novembre 2018, p. 39-58) - qui a remplacé le règlement (CE) 539/2001 du Conseil du 15 mars 2001 (JOL 81 du 21 mars 2001, p. 1-7) et qui ne se distingue pas de celui-ci sur ce point - différencie, en ses art. 1 et 3, les ressortissants des Etats tiers selon qu'ils sont soumis ou non à l'obligation du visa (cf. art. 8 al. 1 OEV). En tant que ressortissant algérien, l'invité est soumis à l'obligation du visa (cf. annexe I des règlements susmentionnés). 6.En date du 9 août 2018, la Représentation suisse à Alger a refusé la délivrance du visa en faveur de l'invité au moyen du formulaire-type Schengen, en indiquant qu'il n'avait pas fourni la preuve qu'il disposait de moyens de subsistance suffisants pour la durée du séjour envisagé ou de moyens pour le retour dans le pays d'origine ou de résidence, ou pour le transit vers un pays tiers dans lequel son admission est garantie, ou qu'il n'était pas en mesure d'acquérir légalement ces moyens. Par décision du 19 septembre 2018, l'autorité intimée a rejeté l'opposition et a confirmé le refus d'autorisation d'entrée dans l'Espace Schengen concernant l'intéressé. Elle a en effet considéré que sa sortie de l'Espace Schengen, au terme du séjour sollicité, n'apparaissait pas suffisamment garantie, compte tenu de sa situation personnelle (jeune, célibataire, moyens financiers limités) et de la situation socio-économique prévalant dans son pays d'origine. Aux yeux du SEM, il ne saurait être exclu que l'intéressé souhaite prolonger sa présence une fois arrivé dans l'Espace Schengen, dans l'espoir de trouver des conditions d'existence meilleures auprès de son frère résidant en Suisse. A l'appui de son recours, l'invitant a notamment souligné que l'intéressé (qui était financièrement indépendant) avait déjà eu l'occasion de venir en Suisse au bénéfice d'un visa Schengen, en 2013, et qu'il avait rejoint son pays d'origine à la fin du séjour autorisé. Dans sa réponse du 15 novembre 2018, l'autorité inférieure a exposé que le fait que l'intéressé ait déjà obtenu un visa en 2013 ne constituait pas un élément susceptible de modifier son appréciation du cas d'espèce. 7.Dans un premier temps, le Tribunal examinera si l'intéressé dispose bien des moyens financiers nécessaires pour son séjour envisagé de 22 jours en Suisse (cf. formulaire «Demande de visa Schengen», points 29 et 30) et pour son retour. 7.1 Si l'on retient le montant de référence de 100 francs par jour indiqué à l'Annexe 18 du Manuel relatif au traitement des demandes de visa et à la modification des visas délivrés («Montants de référence requis pour le franchissement des frontières extérieures, fixés annuellement par les autorités nationales», accessible sur le site du SEM : www.sem.admin.ch sous Publications &amp; Services Directives et circulaires VII. Visas Séjour jusqu'à 90 jours [réglementation Schengen, consulté en septembre 2019 ; ci-après : Manuel des visas I et Compléments]) et le nombre de 22 jours prévus pour la visite de l'invité en Suisse, ce dernier devrait disposer de 2'200 francs s'il entend assumer lui-même les frais de son séjour sur le territoire helvétique. A ce montant, il y aurait lieu d'ajouter les frais du voyage aller et retour ainsi que l'assurance médicale de voyage (cf. arrêt du TAFC-5260/2011 du 4 avril 2014 consid. 5.5 et 5.6). 7.2 A l'appui de sa demande de visa, l'invité a notamment produit des documents établis par la compagnie d'assurances B._______ comme justificatif d'une assurance médicale de voyage. 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30'000 EUR. Cette assurance doit être valable sur l'ensemble du territoire des Etats Schengen et pendant toute la durée du séjour prévu de l'intéressé (cf., à ce sujet, Manuel des visas I et Compléments, p. 89 ss). L'art. 15 par. 5 du code des visas précise que les autorités doivent vérifier si les indemnités dues par la compagnie d'assurances sont récupérables dans un Etat membre de l'UE ou de l'AELE (cf., aussi à ce sujet, Manuel des visas I et Compléments, p. 90 et 91 qui précise pour quelles compagnies d'assurance cette condition est remplie ; voir aussi Gregor T. Chatton, Les exceptions à l'assurance obligatoire des soins : quelques points de contact entre le droit public et le droit privé, Revue suisse des assurances sociales et de la prévoyance professionnelle [RSAS] 55/2011 p. 495). Outre le fait que l'intéressé devrait contracter une nouvelle assurance médicale de voyage pour la durée de son séjour envisagé en Suisse (la période d'assurance indiquée sur les documents produits par l'intéressé étant entretemps échue), il n'est pas certain que l'assurance-voyage qui avait été conclue par l'invité remplisse toutes les exigences légales susmentionnées, ce d'autant moins que le dossier de la cause ne contient pas les conditions générales de la compagnie précitée. Il reviendra donc à l'autorité inférieure de s'assurer que la nouvelle assurance de voyage de l'invité soit conforme aux prescriptions légales en la matière. 7.3 Pour le surplus, au vu de l'ensemble des pièces financières fournies (en particulier la lettre d'invitation et de prise en charge de l'invitant, le relevé de compte bancaire de l'invitant indiquant un solde de 85'126,90 francs au 22 mai 2018, ainsi que la copie des bulletins de salaire de celui-ci [faisant état d'un traitement mensuel moyen net de plus de 10'000 francs]), il y a en revanche lieu de considérer que l'invité bénéficie des moyens financiers suffisants pour la durée de son séjour en Suisse et son retour dans son pays d'origine. Tout au plus incombera-t-il à l'autorité inférieure de formaliser son engagement financier par la signature du formulaire (déclaration de prise en charge) idoine par le garant (art. 14 ss. OEV). 7.4 En conclusion, si l'on excepte la problématique de l'assurance médicale de voyage, qu'il incombera à l'autorité inférieure de soumettre à un examen plus attentif, et l'éventuelle formalisation de la déclaration de prise en charge par l'invitant, l'invité se conforme à l'exigence relative à l'existence des moyens financiers nécessaires au séjour envisagé en Suisse.</w:t>
      </w:r>
    </w:p>
    <w:p>
      <w:r>
        <w:rPr>
          <w:b/>
        </w:rPr>
        <w:t>E. 8</w:t>
      </w:r>
    </w:p>
    <w:p>
      <w:r>
        <w:t>Il s'agit maintenant de déterminer si le retour de l'invité dans son pays d'origine à l'issue de son séjour en Suisse est suffisamment garanti.</w:t>
      </w:r>
    </w:p>
    <w:p>
      <w:r>
        <w:rPr>
          <w:b/>
        </w:rPr>
        <w:t>E. 8.1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F-5295/2018 du 6 août 2019 consid. 6.3).</w:t>
      </w:r>
    </w:p>
    <w:p>
      <w:r>
        <w:rPr>
          <w:b/>
        </w:rPr>
        <w:t>E. 8.2</w:t>
      </w:r>
    </w:p>
    <w:p>
      <w:r>
        <w:t>Compte tenu de la qualité de vie et des conditions économiques et sociales particulières que connaît la population algérienne, on ne saurait de prime abord écarter les craintes de l'autorité inférieure de voir l'intéressé prolonger son séjour en Suisse au-delà de la date d'échéance du visa sollicité. Avec un produit intérieur brut (PIB) par habitant de 4'278 USD en 2018, l'Algérie demeure très en dessous des standards européens. Selon les valeurs de 2018, l'indice de développement humain (IDH), qui prend en compte la santé, l'éducation et le revenu des personnes, la classe en 85e position sur 189 Etats (sources : site internet de la Banque mondiale [https://donnees.banquemondiale.org/indicator/NY.GDP.PCAP.CD?loca-tiolo=DZ&amp;view=chart, site consulté en septembre 2019) ; rapport Indices et indicateurs de développement humain 2018 du Programme des Nations Unies pour le développement - PNUD [http://hdr.undp.org/sites/default/files/2018_human_development_statistical_update_fr.pdf, site consulté en septembre 2019]). Il sied également de relever que les autorités helvétiques sont régulièrement saisies de demandes d'asile émanant de ressortissants algériens, l'Algérie figurant au 8e rang des pays de provenance des requérants d'asile en Suisse pendant le 2e trimestre 2019 (cf. Commentaires sur les statistiques en matière d'asile du 13 août 2019, en ligne sur le site du SEM : www. sem.admin.ch &gt; Publications &amp; service &gt; Statistiques en matière d'asile, site consulté en septembre 2019 ; voir également arrêts du TAF F-365/2018 du 20 mai 2019 consid. 7.2 et F-510/2018 du 28 mai 2018 consid. 6.2).</w:t>
      </w:r>
    </w:p>
    <w:p>
      <w:r>
        <w:rPr>
          <w:b/>
        </w:rPr>
        <w:t>E. 8.3</w:t>
      </w:r>
    </w:p>
    <w:p>
      <w:r>
        <w:t>Dès lors, les conditions socio-économiques prévalant en Algérie ne sont pas sans exercer une pression migratoire importante sur la population, en particulier s'agissant des personnes jeunes et sans attaches particulières. Cette tendance migratoire est encore renforcée, comme l'expérience l'a démontré, lorsque la personne concernée peut s'appuyer à l'étranger sur un réseau social (parents, amis) préexistant, comme cela est le cas en l'espèce (arrêt du TAF F-5295/2018 consid. 7.4). Compte tenu de la situation générale en Algérie et des nombreux avantages qu'offrent la Suisse et d'autres pays membres de l'Espace Schengen (en termes de niveau et de qualité de vie, d'emploi, de sécurité, d'infrastructures scolaires et socio-médicales, etc.), le Tribunal ne saurait partant faire abstraction du risque d'une éventuelle prolongation par l'intéressé de son séjour sur le territoire helvétique au-delà de la durée de validité de son visa (en ce sens : arrêts du TAF F-6333/2017 du 13 juillet 2018 consid. 7.2 et F-6712/2016 du 25 octobre 2017 consid. 5.3).</w:t>
      </w:r>
    </w:p>
    <w:p>
      <w:r>
        <w:rPr>
          <w:b/>
        </w:rPr>
        <w:t>E. 8.4</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S'agissant des justificatifs pouvant être produits pour démontrer la volonté de quitter le territoire des Etats Schengen à l'issue du séjour envisagé et la possibilité dont disposent les autorités de requérir le versement d'une caution sur un compte bancaire en Suisse, il y a lieu de renvoyer au considérant 5.3 ci-dessus. Il convient dès lors d'examiner si, en l'état, la situation personnelle, familiale, financière et sociale de l'invité plaide en faveur d'un retour ponctuel de sa part dans son pays d'origine.</w:t>
      </w:r>
    </w:p>
    <w:p>
      <w:r>
        <w:rPr>
          <w:b/>
        </w:rPr>
        <w:t>E. 8.5</w:t>
      </w:r>
    </w:p>
    <w:p>
      <w:r>
        <w:t>En l'occurrence, l'intéressé est célibataire et il est âgé de moins de trente ans. Etant donné que son frère et l'épouse de celui-ci habitent en Suisse, il convient d'admettre qu'il dispose d'importantes attaches familiales et amicales sur le territoire helvétique. L'invité travaille depuis le1er mai 2018 en qualité d'agent commercial auprès de la société C._______ à D._______, ce qui dénote une certaine stabilité professionnelle - sans toutefois garantir son départ ponctuel à l'échéance du visa sollicité. Il ressort cela dit de la copie du passeport de l'intéressé qu'il a obtenu, au mois de juin 2013, un visa Schengen pour la Suisse. Les timbres humides contenus dans son passeport démontrent qu'il n'y a pas séjourné au-delà de la validité du visa délivré. Le système national d'information sur les visas(ORBIS) indique en outre que la mère de l'intéressé et de l'invitant, Z._______, s'est vu octroyer des visas Schengen par la Suisse en 2015, 2016 et 2018. Ces éléments tendent, dans une certaine mesure, à relativiser le risque que l'intéressé prolonge sa présence au-delà de son séjour envisagé en Suisse et permettent de considérer que ce dernier manifeste l'intention de respecter l'ordre juridique suisse en quittant le territoire national à l'échéance d'un visa. Par contre, le fait que l'invitant se soit porté garant de son départ ponctuel (cf. réplique du 26 novembre 2018) n'est pas décisif en soi (cf., à ce sujet, notamment arrêts du TAF F-4669/2017 consid. 6.6.1 et F-4176/2017 du 1er mars 2018 consid. 6). Il appert dès lors qu'un refus d'octroi d'un visa en faveur de l'intéressé ne tient pas suffisamment compte de sa situation personnelle et s'avère disproportionné. Sur le principe, un visa pour une visite familiale doit donc pouvoir lui être délivré.</w:t>
      </w:r>
    </w:p>
    <w:p>
      <w:r>
        <w:rPr>
          <w:b/>
        </w:rPr>
        <w:t>E. 8.6</w:t>
      </w:r>
    </w:p>
    <w:p>
      <w:r>
        <w:t>Afin de tenir compte toutefois du risque résiduel de prolongation du séjour en Suisse et dans l'optique de mieux garantir un retour ponctuel de l'intéressé dans son pays d'origine (respectivement pour couvrir les éventuels frais de retour [forcé]), l'octroi du visa devra être conditionné au versement préalable par l'intéressé d'une caution d'un montant de 30'000 francs auprès d'un établissement bancaire qui sera désigné par l'autorité cantonale compétente en matière de migration, c'est-à-dire, en l'occurrence, le Service des migrations du canton de Neuchâtel (SMIG; cf. ATAF 2019 VII/1 consid. 9.2 et ATAF 2018 VII/6 consid. 8.3). Par la prise de telles mesures, le risque résiduel de non-retour de l'intéressé dans son pays d'origine reste acceptable. C'est le lieu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8.7</w:t>
      </w:r>
    </w:p>
    <w:p>
      <w:r>
        <w:t>Au vu de ce qui précède, le recours est partiellement admis et la décision du 19 septembre 2018 annulée. La cause est renvoyée à l'autorité inférieure, qui est invitée à autoriser l'entrée en Suisse de l'intéressé dans le but d'accomplir une visite d'ordre familial, après avoir déterminé, notamment, si l'intéressé dispose d'une assurance médicale de voyage conforme aux exigences légales, avoir obtenu une déclaration de prise en charge en bonne et due forme et avoir vérifié que l'intéressé ait versé une caution de 30'000 francs auprès de l'établissement bancaire qui aura été désigné par le SMIG.</w:t>
      </w:r>
    </w:p>
    <w:p>
      <w:r>
        <w:rPr>
          <w:b/>
        </w:rPr>
        <w:t>E. 9.1</w:t>
      </w:r>
    </w:p>
    <w:p>
      <w:r>
        <w:t>Le recourant ayant obtenu partiellement gain de cause (l'octroi d'un visa étant en principe admis), des frais réduits de procédure d'un montant de 400 francs sont mis à sa charge (art. 63 al. 1 PA en relation avec les art. 1 à 3 du règlement du 21 février 2008 concernant les frais, dépens et indemnités fixés par le Tribunal administratif fédéral [FITAF, RS 173.320.2]). Le recourant ayant versé une avance de frais de 900 francs en date du 19 octobre 2018, un montant de 500 francs lui sera restitué. L'autorité inférieure, qui succombe partiellement, n'a pas à supporter de frais réduits de procédure (art. 63 al. 2 PA).</w:t>
      </w:r>
    </w:p>
    <w:p>
      <w:r>
        <w:rPr>
          <w:b/>
        </w:rPr>
        <w:t>E. 9.2</w:t>
      </w:r>
    </w:p>
    <w:p>
      <w:r>
        <w:t>Le recourant, ayant agi sans mandataire professionnel, ne peut se prévaloir de frais relativement élevés pour la défense de ses intérêts dans le cadre de la présente procédure, de sorte qu'il ne se justifie pas de lui 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