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F-5700/2015 vom 20. Dezember 2016</w:t>
      </w:r>
    </w:p>
    <w:p>
      <w:r>
        <w:t>Bundesverwaltungsgericht, 2016-12-20, DE</w:t>
      </w:r>
    </w:p>
    <w:p>
      <w:r>
        <w:rPr>
          <w:b/>
        </w:rPr>
        <w:t xml:space="preserve">Quelle: </w:t>
      </w:r>
      <w:r>
        <w:t>https://mcp.opencaselaw.ch/entscheid/bvger_F-5700_2015</w:t>
      </w:r>
    </w:p>
    <w:p>
      <w:r>
        <w:t>FR: TAF F-5700/2015 du 20 décembre 2016</w:t>
      </w:r>
    </w:p>
    <w:p>
      <w:r>
        <w:t>IT: TAF F-5700/2015 del 20 dicembre 2016</w:t>
      </w:r>
    </w:p>
    <w:p>
      <w:pPr>
        <w:pStyle w:val="Heading2"/>
      </w:pPr>
      <w:r>
        <w:t>Regeste</w:t>
      </w:r>
    </w:p>
    <w:p>
      <w:r>
        <w:t>Einreiseverbot</w:t>
      </w:r>
    </w:p>
    <w:p>
      <w:pPr>
        <w:pStyle w:val="Heading2"/>
      </w:pPr>
      <w:r>
        <w:t>Erwägungen</w:t>
      </w:r>
    </w:p>
    <w:p>
      <w:r>
        <w:rPr>
          <w:b/>
        </w:rPr>
        <w:t>E. 1</w:t>
      </w:r>
    </w:p>
    <w:p>
      <w:r>
        <w:t>1.1 Gemäss Art. 31 VGG beurteilt das Bundesverwaltungsgericht - unter Vorbehalt der in Art. 32 VGG genannten Ausnahmen - Beschwerden gegen Verfügungen im Sinne von Art. 5 VwVG, die von einer in Art. 33 VGG aufgeführten Behörde erlassen wurden. Darunter fallen u.a. Verfügungen der Vorinstanz, welche ein Einreiseverbot beinhalten.</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3.1 Der Beschwerdeführer beanstandete die angefochtene Verfügung zunächst in formeller Hinsicht. Seiner Ansicht nach liegt eine Gehörsverletzung (Art. 29 Abs. 2 BV) darin, dass die Vorinstanz eine nichtssagende Begründung ("der Beschwerdeführer habe seine Fähigkeiten augenfällig überschätzt") herangezogen habe, um eine derart hohe Fernhaltezeit zu legitimieren. Es sei nicht begründet worden, weshalb ein besonders qualifizierter Fall gemäss Art. 67 Abs. 3 AuG vorliegen soll.</w:t>
      </w:r>
    </w:p>
    <w:p>
      <w:r>
        <w:rPr>
          <w:b/>
        </w:rPr>
        <w:t>E. 3.2</w:t>
      </w:r>
    </w:p>
    <w:p>
      <w:r>
        <w:t>Der verfassungsrechtliche Anspruch auf rechtliches Gehör umfasst eine Reihe persönlichkeitsbezogener Mitwirkungsrechte der Partei eines Gerichts- oder Verwaltungsverfahrens. Im Zentrum stehen das Recht der Partei, vor dem Erlass einer belastenden Verfügung von der Behörde angehört zu werden (Art. 30 VwVG) und die korrespondierende Pflicht der Behörde, das Geäusserte nicht nur zur Kenntnis zu nehmen, sondern sorgfältig zu prüfen, zu würdigen und bei der Entscheidfindung zu berücksichtigen (Prüfungs- und Berücksichtigungspflicht; vgl. Art. 32 VwVG). In engem Konnex dazu steht die Begründungspflicht (Art. 35 Abs. 2 VwVG). Sie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angesehen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 Lorenz Kneubühler, Die Begründungspflicht, 1998, S. 26 ff. u. 178 ff.; Michele Albertini, Der verfassungsmässige Anspruch auf rechtliches Gehör im Verwaltungsverfahren des modernen Staates, 2000, S. 369 u. S. 404 m.H.).</w:t>
      </w:r>
    </w:p>
    <w:p>
      <w:r>
        <w:rPr>
          <w:b/>
        </w:rPr>
        <w:t>E. 3.3</w:t>
      </w:r>
    </w:p>
    <w:p>
      <w:r>
        <w:t>Die Vorinstanz führte zur Begründung des Einreiseverbots insbesondere aus, der Beschwerdeführer sei während seines Aufenthaltes in der Schweiz über mehrere Jahre hinweg unzählige Male straffällig geworden, wobei er auch vor schweren Taten wie Raub nicht zurückgeschreckt und weitere Anlasstaten (Einbruchdelikte) begangen habe. Er sei letztmals mit Urteil des Obergerichts des Kantons Aargau vom 13. Juni 2013 wegen mehrfachen Diebstahls, mehrfachen gewerbs- und bandenmässigen Diebstahls, bandenmässigen Raubs, mehrfachen, teilweise versuchten betrügerischen Missbrauchs einer Datenverarbeitungsanlage, Hausfriedensbruchs und Widerhandlung gegen das Betäubungsmittelgesetz zu einer Freiheitsstrafe von 27 Monaten verurteilt worden. Das Obergericht habe das Verschulden des Beschwerdeführers als gross bezeichnet und ausgeführt, dieser sei mit bemerkenswert grosser Energie, zumal für einen Minderjährigen, vorgegangen. Der Beschwerdeführer sei wegen über 30 strafrechtlichen Vorgängen, begangen zwischen September 2007 und März 2010, verurteilt worden. Diese Delikte würden einen schweren Verstoss gegen die Gesetzgebung darstellen, womit eine schwer wiegende Gefährdung der öffentlichen Sicherheit und Ordnung einhergehe. Nach der Rechtsprechung würden Verbrechen und Vergehen gegen Leib und Leben d.h. u.a. auch Raub zu denjenigen Verhaltensweisen gehören, welche die öffentliche Ordnung und Sicherheit in einem besonderen sensiblen Bereich treffen und deshalb im Rahmen der fremdenpolizeilichen Abwägung einen strengen Massstab rechtfertigen. Ausländische Straftaten, die die Gesundheit anderer gefährden oder beeinträchtigen würden, seien während einer längeren Zeit von der Schweiz fernzuhalten. Es dürfe nur ein sehr geringes Restrisiko eines Rückfalls in Kauf genommen werden. Der Beschwerdeführer habe sich weder durch die vorherige Verurteilung, noch durch die etlichen polizeilichen Ermittlungsverfahren von weiteren Straftaten abhalten lassen. Insbesondere scheine auch der Freiheitsentzug im Rahmen wiederholter Untersuchungshaften keinen Eindruck hinterlassen zu haben. Dieses Verhalten offenbare - insbesondere für einen Minderjährigen - eine grosse kriminelle Energie. Mit der Deliktsfreiheit seit März 2010 lasse sich kein grundlegender Wandel belegen, der auf ein künftiges Wohlverhalten schliessen lasse. Vor diesem Hintergrund bestehe aktuell weiterhin ein konkretes und hohes Rückfallrisiko, bei welchem hochwertige Rechtsgüter auf dem Spiel stünden und das Risiko einer erneuten Delinquenz umso weniger in Kauf genommen werden dürfe, zumal sich der Beschwerdeführer als unbelehrbar erwiesen habe. Der Erlass einer Fernhaltemassnahme von acht Jahren zur Vermeidung künftiger Delikte sei daher angezeigt. In Bezug auf die familiäre Situation stehe dem Beschwerdeführer allenfalls die Möglichkeit offen, aus wichtigen Gründen mittels begründetem Gesuch die vorübergehende Suspension der Fernhaltemassnahme zu beantragen (Art. 67 Abs. 5 AuG). Zudem könne der Kontakt zwischen ihm und seinen in der Schweiz lebenden Verwandten auch auf andere Weise als durch Besuche in der Schweiz gepflegt werden (z.B. mit Briefverkehr, Telefonaten, Videotelefonie, Reisen der Verwandten in den Aufenthaltsstaat des Beschwerdeführers). Die darüber hinausgehenden zusätzlichen Erschwernisse habe sich der Beschwerdeführer selber zuzurechnen.</w:t>
      </w:r>
    </w:p>
    <w:p>
      <w:r>
        <w:rPr>
          <w:b/>
        </w:rPr>
        <w:t>E. 3.4</w:t>
      </w:r>
    </w:p>
    <w:p>
      <w:r>
        <w:t>Aus dieser - nicht in voller Länge wiedergegebenen - ausführlichen Begründung war für den Beschwerdeführer klar ersichtlich, dass und aus welchen Gründen die Vorinstanz von einer schwerwiegenden Gefahr für die öffentliche Sicherheit und Ordnung ausging. Es geht daraus genügend detailliert hervor, aus welchen Gründen sie ein achtjähriges Einreiseverbot erliess, verwies sie doch explizit auf die vom Beschwerdeführer begangenen Delikte. Ebenso begründete die Vorinstanz die schwerwiegende Gefährdung der öffentlichen Sicherheit und Ordnung indem sie auf die schweren Delikte des Beschwerdeführers gegen Leib und Leben und die damit zusammenhängende bundesgerichtliche Rechtsprechung verwies. Insgesamt war es dem Beschwerdeführer möglich, sachgerecht und vollständig gegen die vorinstanzliche Verfügung zu argumentieren. Die erhobene Rüge der Gehörsverletzung erweist sich demnach als unbegründet. 4.4.1 Landesrechtliche Grundlage der angefochtenen Verfügung vom 3. Juni 2015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 4.2 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C-988/2015 vom 29. Oktober 2015 E. 6.2 m.H.). 4.3 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und Art. 24 SIS II-Verordnung sowie Art. 20 - 22 der Verordnung über den nationalen Teil des Schengener Informationssystems (N-SIS) und das SIRENE-Büro (N-SIS-Verordnung vom 8. März 2013 [SR 362.0]). 5.5.1 Die Vorinstanz begründet das gegen den Beschwerdeführer verhängte Einreiseverbot mit seiner strafrechtlichen Verurteilung durch das Obergericht des Kantons Aargau vom 13. Juni 2013. Die mit diesem Urteil sanktionierten Straftaten - mehrfacher Diebstahl, mehrfacher gewerbs- und bandenmässiger Diebstahl, bandenmässiger Raub, mehrfache, teilweise versuchter, betrügerischer Missbrauch einer Datenverarbeitungsanlage, Hausfriedensbruch sowie Wiederhandlungen gegen das Betäubungsmittelgesetz - stellen zweifellos Verstösse gegen die öffentliche Sicherheit und Ordnung dar, was vom Beschwerdeführer auch gar nicht bestritten wird. Dass der Beschwerdeführer einen Fernhaltegrund im Sinne von Art. 67 Abs. 2 Bst. a AuG gesetzt hat, ist folglich nicht in Abrede zu stellen. 5.2 Fernhaltemassnahmen, welche die in Art. 67 Abs. 3 Satz 1 AuG genannte Höchstdauer von fünf Jahren überschreiten, sind - wie oben (E. 4.1) dargelegt - nur dann zulässig, wenn die betroffene Person eine schwerwiegende Gefahr für die öffentliche Sicherheit und Ordnung darstellt. Ein solche Gefahr kann sich aus der Hochwertigkeit der deliktisch bedrohten Rechtsgüter ergeben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 5.3 Der Vorinstanz zufolge resultiert die vom Beschwerdeführer ausgehende schwerwiegende Gefahr aus der Art und Vielzahl (über 30) seiner Delikte sowie aus dem langen Begehungszeitraum, der mit zweieinhalb Jahren angegeben wird. Aus der Begründung geht hervor, dass der sanktionierte bandenmässigen Raub - die schwerste der insgesamt beurteilten Straftaten darstellt. 5.4 Eine Störung der öffentlichen Sicherheit und Ordnung durch Gewaltdelikte wie Raub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rechtlichen relevanten Gefahr im Sinne von Art. 67 Abs. 2 Bst. a AuG zugrunde liegt (vgl. etwa Urteil des BVGer C-3843/2015 vom 27. Januar 2016 E. 7.3). 5.5 Aus den Akten geht hervor, dass der Beschwerdeführer während seiner Anwesenheit hierzulande etliche Male mit dem Gesetz in Konflikt geriet. Im Vordergrund steht das bereits erwähnte Urteil des Obergerichts des Kantons Aargau vom 13. Juni 2013. Der Beschwerdeführer hat sich als Jugendlicher nebst bandenmässigen Raubes insgesamt wegen mehrfachen gewerbs- und bandenmässigen Diebstahls (27 Diebstähle und vier versuchte Diebstähle), mehrfacher Sachbeschädigung, mehrfachen Hausfriedensbruchs, mehrfachen betrügerischen Missbrauchs einer Fernmeldeanlage (teilweiser Versuch), mehrfacher Entwendung eines Personenwagens zum Gebrauch, widerrechtlicher Aneignung von Kontrollschildern und Pornografie strafbar gemacht. Als Erwachsener beging er mehrfachen Diebstahl, Hausfriedensbruch und mehrfache Widerhandlung gegen das Betäubungsmittelgesetz. Nur schon diese Deliktsserie spricht für eine besondere Tätergefährlichkeit. Es besteht daher ein manifestes öffentliches Interesse daran, ihn längerfristig von der Schweiz fernzuhalten. Zu den Tatkomponenten der Strafzumessung führte das Obergericht des Kantons Aargau Folgendes aus: Der Beschuldigte habe mit bemerkenswert grosser krimineller Energie, zumal für einen Minderjährigen, meist im Zusammenwirken mit wechselnden Mittätern eine Vielzahl von Delikten begangen, überwiegend gegen das Rechtsgut fremden Eigentums. Der gesamte Deliktsbetrag habe die Summe von Fr. 30'000.- überstiegen. Zudem hätten der Beschuldigte und seine Komplizen einen Sachschaden in fünfstelliger Höhe verursacht. Motiv für die Taten dürfe eine gewisse Langeweile mangels geregelten Tagesablaufs und die Beschaffung von Geld für den persönlichen Gebrauch gewesen sein. Zusammenfassend ergebe sich aus den Tatkomponenten ein grosses Verschulden des Beschuldigten (vgl. Urteilsbegründung S. 36 f.). Dementsprechend hoch ist auch die Freiheitsstrafe von 27 Monaten für einen teils Jugendlichen ausgefallen. In Bezug auf die Täterkomponente legte das Obergericht Folgendes dar: Die Vorinstanz habe zu Recht auf mangelnde Einsicht des Beschuldigten in den Unrechtsgehalt seiner Taten geschlossen. Im Rahmen der vor- instanzlichen Verhandlung habe der Beschuldigte zwar als Schlusswort zu Protokoll gegeben, was er getan habe, habe er als Jugendlicher getan und er würde es heute nicht wieder tun. Weiter habe er dort allerdings festgehalten, wenn er sich bei den Geschädigten und Opfern entschuldigen könnte, würde er das tun. Inwiefern ihm dies angesichts der auf der Anklage aufgelisteten Adressen nicht möglich gewesen sein solle, bleibe allerdings unklar. Festzuhalten sei in diesem Zusammenhang, dass er sich bis heute gemäss seinen Aussagen anlässlich der Berufungsverhandlung lediglich bei drei oder vier Geschädigten entschuldigt habe. Auf bestehende Schulden angesprochen habe er festgehalten, dass er von solchen keine Kenntnis habe, obwohl im aktuellen Verfahren diverse Forderungen geltend gemacht worden seien. Die Vorinstanz habe ihm zu Recht eine deutlich unterdurchschnittliche Strafempfindlichkeit attestiert (vgl. Urteilsbegründung S. 32 f.) 5.6 Bei der Frage, ob der Beschwerdeführer aktuell eine Gefährdung darstellt, kommt es wesentlich auf das Rückfallrisiko an. Das Obergericht Aargau erachtete das Verschulden des Beschuldigten als gross und seine kriminelle Energie als erheblich. Gemäss den Akten wurde der Beschwerdeführer bereits im Dezember 2007 ein erstes Mal verhaftet und in Untersuchungshaft gesetzt. Kurz darauf delinquierte er weiter. Am 4. Februar 2008 wurde er erneut verhaftet und im Juli 2008 in Untersuchungshaft gesetzt. Nur neun Monate nach der Entlassung wurde er, mittlerweile mündig geworden, erneut straffällig. Das Obergericht kommt zum Schluss, dass dem Beschuldigten zwar knapp noch keine eigentliche Schlechtprognose gestellt werden könne, doch sei in höchstem Mass ungewiss, ob ihm längerfristig ein künftiges Wohlverhalten gelingen werde. Es erachtete deshalb den Vollzug einer empfindlichen mehrmonatigen Freiheitsstrafe (9 Monate) aus spezialpräventiver Sicht als unabdingbar. Wenn der Rechtsvertreter die wiederholt schwere Straffälligkeit aufgrund der damaligen Minderjährigkeit des Beschwerdeführers quasi als Jugendsünde darzustellen versucht, verharmlost er das Verhalten des Beschwerdeführers in hohem Mass. Zudem hat der Beschwerdeführer als Erwachsener weiter delinquiert. Überdies ist die Minderjährigkeit als schuldmildender Umstand bei der Strafzumessung bereits gebührend berücksichtigt worden (vgl. Urteilsbegründung S. 11 und 34 ff.). 5.7 Auf Beschwerdeebene wird ferner bemängelt, das SEM habe bei der Festsetzung der Dauer der Fernhaltemassnahme einerseits die negative Legalprognose zu stark gewichtet, andererseits die persönlichen Verhältnisse des Beschwerdeführers (seine gesamte Familie lebe hierzulande, Grad an Integration in der Schweiz) ausser Acht gelassen. Dem kann im Kontext der vorangehenden Ausführungen nicht beigepflichtet werden. Die vom Beschwerdeführer begangenen Taten vermitteln das Bild eines uneinsichtigen und unbelehrbaren Gewohnheitsdelinquenten. Die Untersuchungshaften liessen ihn unbeeindruckt. Sein Verhalten zeugt vom offensichtlich fehlenden Willen, sich an die schweizerische Rechtsordnung zu halten; von einer Integration in die hiesigen Verhältnisse oder Reue in sein bisheriges Tun kann mit anderen Worten keine Rede sein. Auch die Beziehungen zu den ihm am nächsten stehenden Personen vermochten ihn nicht von regelmässiger Delinquenz abzubringen. Dementsprechend muss beim Beschwerdeführer aus ausländerrechtlicher Sicht von einer klar negativen Prognose ausgegangen werden. Die seit der Haftentlassung verstrichene Zeit ist - mit Blick auf die verletzten Rechtsgüter - viel zu kurz, als dass dies an der derzeitigen Risikoeinschätzung etwas zu ändern vermag (zur Rückfallgefahr und zur "günstigen Deliktsprognose" ausserhalb des Freizügigkeitsabkommens vgl. etwa 2C_282/2012 vom 31. Juli 2012 E. 2.5). Hinzu kommt, dass er noch bis zum 12. Juni 2017 unter dem Druck der Probezeit steht, was ein korrektes Verhalten seinerseits nahelegt (siehe Urteil des BGer 2C_888/2012 vom 14. März 2013 E. 4.2.4 m.H.). Aufgrund dessen kann eine schwerwiegende Rückfallgefahr bis auf Weiteres nicht als gebannt betrachtet werden. Damit ist festzustellen, dass der Beschwerdeführer zum heutigen Zeitpunkt eine schwerwiegende Gefahr für die öffentliche Sicherheit und Ordnung darstellt. Das gegen ihn verhängte Einreiseverbot darf damit die Dauer von fünf Jahren gemäss Art. 67 Abs. 3 AuG überschreiten. 6.6.1 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 6.2 Die vom Beschwerdeführer ausgehende schwerwiegende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2C_451/2015 vom 28. April 2016 E. 4.1 m.H.). In diesem Zusammenhang ist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Dass die strafrechtliche Probezeit des Beschwerdeführers im Juni 2017 abgelaufen sein wird, bedeutet von daher nicht, dass er danach kein Risiko für die öffentliche Sicherheit und Ordnung mehr darstellen würde. 6.3 Dem öffentlichen Interesse sind die privaten Interessen des Beschwerdeführers gegenüberzustellen. Dieser beruft sich im Wesentlichen darauf, dass alle seine Angehörigen - und er selbst seit seiner Kindheit - in der Schweiz lebten und er sich, seit seiner Freiheitsstrafe nichts mehr habe zuschulden kommen lassen. 6.3.1 Der Beschwerdeführer kann bereits aufgrund des rechtskräftigen Widerrufs seiner Niederlassungsbewilligung nicht mehr bei seiner Familie in der Schweiz wohnen. Das über den Beschwerdeführer verhängte Einreiseverbot hat, über den Entzug des Aufenthaltsrechts hinaus, zur Folge, dass dieser seine hier lebenden Angehörigen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Vorinstanz konnte die Interessen des Beschwerdeführers nach familiärem Zusammensein demzufolge nur berücksichtigen, indem sie ihm in ihrer Verfügung Suspensionen des Einreiseverbots in Aussicht stellte und - was zu prüfen bleibt - für das Einreiseverbot eine angemessene Dauer anordnete. 6.3.2 Im Rahmen der Abwägung von öffentlichen und privaten Interessen ist festzuhalten, dass der Beschwerdeführer die alleinige Verantwortung für den nur noch eingeschränkt möglichen Kontakt zu seinen Verwandten trägt. Immerhin können die gemeinsamen Beziehungen nicht nur im Rahmen von Suspensionen, sondern auch durch Besuche seiner Angehörigen im Kosovo und mithilfe moderner Kommunikationsmittel gepflegt werden. 7.Die Abwägung der vorliegenden öffentlichen und privaten Interessen führt somit zum Ergebnis, dass das auf acht Jahre befristete Einreiseverbot eine verhältnismässige und angemessene Massnahme zum Schutz der öffentlichen Sicherheit und Ordnung darstellt. Die Ausschreibung im SIS II erfolgt insbesondere angesichts von abgeurteilten oder zu befürchtenden Straftaten gewisser Schwere (Art. 24 Ziff. 2 Bst. a oder Bst. b SIS-II-Verordnung), eine Voraussetzung, die im Falle des Beschwerdeführers erfüllt ist. Auch die Ausschreibung im SIS II ist somit rechtens. 8.Aus diesen Erwägungen folgt, dass die angefochtene Verfügung Bundesrecht nicht verletzt (vgl. Art. 49 VwVG). Die Beschwerde ist daher abzuweisen. 9.Entsprechend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