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F-5685/2015 vom 31. März 2017</w:t>
      </w:r>
    </w:p>
    <w:p>
      <w:r>
        <w:t>Bundesverwaltungsgericht, 2017-03-31, FR</w:t>
      </w:r>
    </w:p>
    <w:p>
      <w:r>
        <w:rPr>
          <w:b/>
        </w:rPr>
        <w:t xml:space="preserve">Quelle: </w:t>
      </w:r>
      <w:r>
        <w:t>https://mcp.opencaselaw.ch/entscheid/bvger_F-5685_2015</w:t>
      </w:r>
    </w:p>
    <w:p>
      <w:r>
        <w:t>FR: TAF F-5685/2015 du 31 mars 2017</w:t>
      </w:r>
    </w:p>
    <w:p>
      <w:r>
        <w:t>IT: TAF F-5685/2015 del 31 marzo 2017</w:t>
      </w:r>
    </w:p>
    <w:p>
      <w:pPr>
        <w:pStyle w:val="Heading2"/>
      </w:pPr>
      <w:r>
        <w:t>Regeste</w:t>
      </w:r>
    </w:p>
    <w:p>
      <w:r>
        <w:t>Visa Schengen</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Le Règlement (CE) no 539/2001 du Conseil du 15 mars 2001 (JO L 81 du 21 mars 2001, p. 1-7) - applicable par renvoi , différencie en son art. 1 par. 1 et 2 les ressortissants des Etats tiers selon qu'ils sont soumis ou non à l'obligation du visa. Du fait de sa nationalité indonésienne, B._______ est soumise à l'obligation de visa.</w:t>
      </w:r>
    </w:p>
    <w:p>
      <w:r>
        <w:rPr>
          <w:b/>
        </w:rPr>
        <w:t>E. 5.1</w:t>
      </w:r>
    </w:p>
    <w:p>
      <w:r>
        <w:t>Dans la décision querellée, l'autorité inférieure a confirmé le refus d'autorisation d'entrée dans l'Espace Schengen prononcé par l'Ambassade de Suisse à Jakarta à l'encontre de la prénommée au motif que le départ ponctuel de celle-ci dans l'Espace Schengen avant l'expiration du visa sollicité n'apparaissait pas suffisamment assuré.</w:t>
      </w:r>
    </w:p>
    <w:p>
      <w:r>
        <w:rPr>
          <w:b/>
        </w:rPr>
        <w:t>E. 5.2</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Ainsi, il y a lieu de se montrer d'autant plus exigent que la situation dans le pays d'origine est difficile.</w:t>
      </w:r>
    </w:p>
    <w:p>
      <w:r>
        <w:rPr>
          <w:b/>
        </w:rPr>
        <w:t>E. 5.3</w:t>
      </w:r>
    </w:p>
    <w:p>
      <w:r>
        <w:t>En l'occurrence, compte tenu de la qualité de vie et des conditions économiques et sociales difficiles que connaît l'ensemble de la population vivant en Indonésie, le Tribunal ne saurait d'emblée écarter les craintes émises par le SEM quant à une éventuelle prolongation du séjour de l'intéressée au-delà de la durée de validité du visa sollicité. Ainsi, le PIB par habitant en 2016 s'élevait à 3'362 USD pour l'Etat indonésien contre plus de 80'602 USD pour la Suisse (voir le site internet du Fonds monétaire international : www.imf.org Data and Statistics World Economic Outlook Databases (WEO) World Economic Outlook Databases October2016 By Countries (country-level data) All countries, mis à jour en mars 2017, consulté en mars 2017). Pour l'année 2014, l'indice de développement humain (IDH), qui prend en compte la santé, l'éducation et le revenu des personnes, classe l'Indonésie au 110ème rang, sur 187 pays, et la Suisse en 3ème position, pour la même année (voir respectivement le site internet du Human Development Reports of Unites Nations Development Programme [HDR UNDP] : www.hdr.undp.org &gt; Pays &gt; Indonésie, consulté en mars 2017 ; www.hdr.undp.org Pays Suisse, consulté en mars 2017). Or, l'existence de telles disparités entre l'Indonésie et la Suisse n'est pas sans exercer une pression migratoire importante, une tendance qui est encore renforcée - comme l'expérience l'a démontré - lorsque les personnes invitées peuvent s'appuyer à l'étranger sur un réseau familial et/ou social préexistant, ce qui est le cas en l'espèce, eu égard notamment à la présence en Suisse de C._______, qui entretient une relation étroite avec sa tante B._______ (cf. courriers des 9 et 12 septembre 2016).</w:t>
      </w:r>
    </w:p>
    <w:p>
      <w:r>
        <w:rPr>
          <w:b/>
        </w:rPr>
        <w:t>E. 5.4</w:t>
      </w:r>
    </w:p>
    <w:p>
      <w:r>
        <w:t>Cela étant, l'autorité ne saurait se fonder sur la seule situation prévalant dans le pays de provenance de l'intéressée pour conclure à l'absence de garantie quant à leur sortie de Suisse, mais doit également prendre en considération les particularités du cas d'espèce (cf. ATAF 2009/27 précité, consid. 7 et 8).</w:t>
      </w:r>
    </w:p>
    <w:p>
      <w:r>
        <w:rPr>
          <w:b/>
        </w:rPr>
        <w:t>E. 5.4.1</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5.4.2</w:t>
      </w:r>
    </w:p>
    <w:p>
      <w:r>
        <w:t>En l'espèce, parle en défaveur de l'intéressée le fait qu'elle ne dispose pas d'une famille nucléaire dans son pays d'origine (tel qu'un mari ou des descendants directs) et que sa situation financière et patrimoniale paraît au premier abord insuffisante pour la mettre à l'abri du besoin pendant l'entier de sa retraite. Ainsi, par courrier du 9 septembre 2016, l'intéressée a indiqué avoir cessé toute activité professionnelle au 31 janvier 2015, ne pas bénéficier de programme de pension et pouvoir compter sur le soutien financier de trois de ses soeurs et de trois de ses nièces. Pour pallier à cette situation, B._______ a versé durant sa vie une partie de ses revenus sur un compte épargne afin que ce capital lui serve de retraite. S'agissant des sorties d'argent, l'intéressée a tout d'abord indiqué devoir faire face à des dépenses courantes entre 150 et 200 USD ([représentant 2'006'613 IDR et 2'674'484 IDR] ; cf. recours p. 4) pour finalement retenir des charges mensuelles entre Fr. 90.- et Fr. 115.- ([représentant selon elle entre 1'300'000 et 1'600'000 IDR], cf. pce TAF 18). En parallèle, le solde de son compte bancaire qui s'élevait à 99'403'584.88 IDR (équivalant à Fr. 7'952.-) au 31 janvier 2014, a été réduit de près de 30% en moins de 3 ans seulement (solde au 31 août 2016 : 70'722'266.70 IDR représentant Fr. 4'950.- ; pce TAF 18 p. 7 à 38), et ceci nonobstant les montants réguliers qui lui ont été versés chaque mois ([un montant mensuel moyen de 539'602 IDR, soit Fr. 43.- lui a été versé par les membres de sa famille entre 2014 et 2016] ; cf. pce TAF 18 p. 7 à 38). Or, force est de constater que ce montant n'est pas suffisant pour couvrir l'entier de ses charges, étant précisé que les coûts liés à d'éventuels voyages n'ont pas été pris en compte (cf. mémoire de recours p. 4 et pce TAF 18). Dès lors, tout en sachant que l'espérance de vie d'une femme en Indonésie est de 75 ans (cf. le site Internet http://populationsdumonde.com/fiches-pays/indonesie, consulté en mars 2017), le Tribunal de céans émet des réserves quant à la capacité de l'intéressée à couvrir ses charges à moyen terme.</w:t>
      </w:r>
    </w:p>
    <w:p>
      <w:r>
        <w:rPr>
          <w:b/>
        </w:rPr>
        <w:t>E. 5.4.3</w:t>
      </w:r>
    </w:p>
    <w:p>
      <w:r>
        <w:t>A l'heure actuelle, ces circonstances négatives doivent toutefois être relayées à l'arrière-plan pour les raisons qui suivent. Tout d'abord, l'intéressée a atteint l'âge de 56 ans, a toujours vécu en Indonésie, est en bonne santé et ne parle aucune langue nationale suisse. A cela s'ajoute qu'elle est à la retraite depuis janvier 2015, soit depuis l'âge de 55 ans, ce qui correspond à la norme en Indonésie (cf. le site Internet http://fr.tradingeconomics.com/indonesia/retirement-age-women, consulté en mars 2017). Il s'agit donc de circonstances qui, selon l'expérience générale, sont peu propices à favoriser une immigration illégale. En parallèle, sur le plan des attaches familiales, il ressort du dossier que B._______ bénéficie du soutien et de la compagnie de ses sept soeurs et de sa mère en Indonésie. Comme cela est indiqué de façon tout à fait plausible dans les différents mémoires, plusieurs membres de la famille disposent d'emplois qualifiés (cf. mémoire de recours dans lequel il ressort que D._______ est médecin, que E._______ est cheffe d'entreprise et que F._______ est entraîneur de badminton) et se prêtent assistance les uns aux autres. Ainsi, B._______ séjourne en grande partie à Jombang à l'est de Java, avec deux de ses soeurs et sa mère souffrant d'Alzheimer ; le reste du temps elle vit entre Bandung - où elle occupe une maison prêtée gratuitement par le père de l'invitante (C._______) - et Jakarta chez les parents de cette dernière (cf. pce TAF 18). Les documents versés par courrier du 5 février 2016 mettent en évidence les voyages organisés avec la requérante et plusieurs membres de sa famille notamment en Suisse en 2011, en France en 2011, aux Pays-Bas en 2011, à Singapour en 2012 et en Chine en 2014 (pce TAF 12 annexe 9). Quant à l'invitante, elle rend visite à sa famille une fois par année au moins en Indonésie (pce TAF 18 p. 5). Le Tribunal de céans retient également que B._______ peut compter sur le soutien financier de sa parenté en Indonésie qui lui verse deux montants réguliers chaque mois et de sa nièce en Suisse qui lui paie les primes d'assurance-maladie. Ainsi, jusqu'à ce jour, elle dispose d'un large réseau de personnes qui la soutient financièrement et veille non seulement à ce qu'elle ne manque de rien, mais également à ce qu'elle entreprenne de nombreux voyages, étant précisé qu'elle est toujours accompagnée par des membres de sa famille (cf. pce TAF 12 annexe 4). Finalement, le Tribunal retient en faveur de B._______ que lors de ses deux séjours en Suisse, suite à l'obtention des visas valables du 12 août 2011 au 31 août 2011 (par le biais des autorités suisses) et du 6 mai 2015 au 5 novembre 2015 (par le truchement des autorités espagnoles), elle a quitté l'Espace Schengen dans les temps requis (pce TAF 1 annexe 1 et 2).</w:t>
      </w:r>
    </w:p>
    <w:p>
      <w:r>
        <w:rPr>
          <w:b/>
        </w:rPr>
        <w:t>E. 5.5</w:t>
      </w:r>
    </w:p>
    <w:p>
      <w:r>
        <w:t>Sur le vu de l'ensemble des éléments susmentionnés, le Tribunal de céans estime qu'à l'heure actuelle, il est hautement vraisemblable que B._______ rentre dans son pays d'origine à l'échéance de son visa. Compte tenu de la réaction du recourant qui a fait part de son désaccord total face au refus d'octroi de visa par l'ambassade et qui est allé jusqu'à demander à ce qu'on lui communique le nom de l'employé de l'ambassade qui avait traité son dossier (pce SEM actes 1 et 3), il paraît utile de préciser que, compte tenu des doutes quant au financement à moyen et long terme de la retraite de B._______ (cf. supra consid. 5.4.2), il s'agit d'un cas limite. Aussi, si la prénommée devait à nouveau déposer une demande de visa dans les années suivantes, elle devra s'attendre à ce que les autorités examinent en détails cet aspect qui pourra alors s'avérer décisif pour justifier un rejet de la requête. Par ailleurs, l'écoulement du temps nécessitera des assurances supplémentaires liées à l'état de santé de la requérante. Ces réserves ayant été faites quant au futur et au regard de l'état des faits constaté à ce jour, le Tribunal de céans estime qu'il serait inopportun de refuser à l'intéressée l'autorisation d'entrée sollicitée pour l'année 2017, l'intérêt privé de celle-ci à pouvoir rendre visite à sa nièce dans le canton de Vaud prévalant sur l'intérêt public contraire à refuser le visa demandé. Le Tribunal se doit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6</w:t>
      </w:r>
    </w:p>
    <w:p>
      <w:r>
        <w:t>Le recours est en conséquence admis, la décision attaquée annulée et la cause renvoyée pour nouvelle décision à l'autorité inférieure, laquelle est invitée à autoriser l'entrée en Suisse de B._______ dans le but d'accomplir une visite d'ordre familial jusqu'à 90 jours en 2017, après avoir déterminé si la prénommée remplit les conditions d'entrée posées par le code frontières Schengen.</w:t>
      </w:r>
    </w:p>
    <w:p>
      <w:r>
        <w:rPr>
          <w:b/>
        </w:rPr>
        <w:t>E. 7</w:t>
      </w:r>
    </w:p>
    <w:p>
      <w:r>
        <w:t>Le recourant obtenant gain de cause, il n'y a pas lieu de mettre des frais à sa charge (cf. art. 63 al. 1 PA a contrario et art. 63 al. 3 PA). Bien qu'elle succombe, l'autorité inférieure n'a pas à supporter de frais de procédure (art. 63 al. 2 PA).</w:t>
      </w:r>
    </w:p>
    <w:p>
      <w:r>
        <w:rPr>
          <w:b/>
        </w:rPr>
        <w:t>E. 8</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En l'absence de dépôt d'un décompte de prestations, l'indemnité due au titre de dépens est arrêtée, ex aequo et bono, sur la base du dossier, à 1'500 francs (TVA comprise), à charge du SEM (cf. art. 14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