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F-5680/2024 vom 17. September 2024</w:t>
      </w:r>
    </w:p>
    <w:p>
      <w:r>
        <w:t>Bundesverwaltungsgericht, 2024-09-17, DE</w:t>
      </w:r>
    </w:p>
    <w:p>
      <w:r>
        <w:rPr>
          <w:b/>
        </w:rPr>
        <w:t xml:space="preserve">Quelle: </w:t>
      </w:r>
      <w:r>
        <w:t>https://mcp.opencaselaw.ch/entscheid/bvger_F-5680_2024</w:t>
      </w:r>
    </w:p>
    <w:p>
      <w:r>
        <w:t>FR: TAF F-5680/2024 du 17 septembre 2024</w:t>
      </w:r>
    </w:p>
    <w:p>
      <w:r>
        <w:t>IT: TAF F-5680/2024 del 17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 Der Beschwerdeführer ist zur Erhebung der Beschwerde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Besitzt eine antragstellende Person ein gültiges Visum, so ist der Mitgliedstaat, der das Visum erteilt hat, für die Prüfung des Antrags auf internationalen Schutz zuständig, es sei denn, dass das Visum im Auftrag eines anderen Mitgliedstaats im Rahmen einer Vertretungsvereinbarung gemäss Artikel 8 der Verordnung (EG) Nr. 810/2009 des Europäischen Parlaments und des Rates vom 13. Juli 2009 über einen Visakodex der Gemeinschaft erteilt wurde. In diesem Fall ist der vertretene Mitgliedstaat für die Prüfung des Antrags auf internationalen Schutz zuständig. (Art. 12 Abs. 2 Dublin-III-VO). Besitzt eine antragstellende Person einen oder mehrere Aufenthaltstitel, die weniger als zwei Jahre zuvor abgelaufen sind, oder ein oder mehrere Visa, die seit weniger als sechs Monaten abgelaufen sind, aufgrund deren sie in das Hoheitsgebiet eines Mitgliedstaats einreisen konnte, so ist grundsätzlich der Mitgliedstaat, der das Visum erteilt oder den Aufenthaltstitel ausgestellt hat, für die Prüfung des Antrags auf internationalen Schutz zuständig (Art. 12 Abs. 4 Dublin-III-VO).</w:t>
      </w:r>
    </w:p>
    <w:p>
      <w:r>
        <w:rPr>
          <w:b/>
        </w:rPr>
        <w:t>E. 3.4</w:t>
      </w:r>
    </w:p>
    <w:p>
      <w:r>
        <w:t>Dem CS-VIS konnte entnommen werden, dass der Beschwerdeführer von Rumänien ein vom 23. bis 31. Juli 2024 gültiges Schengen-Visum ausgestellt worden war. Die rumänischen Behörden hiessen das Übernahmegesuch des SEM am 2. September 2024 gestützt auf Art. 12 Dublin-III-VO gut. Die grundsätzliche Zuständigkeit Rumäniens ist somit gegeben und wird vom Beschwerdeführer nicht bestritten.</w:t>
      </w:r>
    </w:p>
    <w:p>
      <w:r>
        <w:rPr>
          <w:b/>
        </w:rPr>
        <w:t>E. 4.1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w:t>
      </w:r>
    </w:p>
    <w:p>
      <w:r>
        <w:t>Gemäss Rechtsprechung des Bundesverwaltungsgerichts gibt es entgegen der Ansicht des Beschwerdeführers aktuell keine Gründe für die Annahme, wonach das Asylverfahren und die Aufnahmebedingungen in Rumänien systemische Schwachstellen im Sinne von Art. 3 Abs. 2 Sätze 2 und 3 Dublin-III-VO aufwiesen (vgl. statt vieler: Urteile des BVGer E 3975/2024 vom 28. Juni 2024 E. 4.1; F-3704/2023 vom 23. Mai 2024 E. 5.2; je m.H.). Auch unter Berücksichtigung der in der Beschwerde zitierten Rechtsprechung ausländischer Gerichte und Berichte von Nichtregierungsorganisationen ist nicht anzunehmen, Rumänien verstosse systematisch gegen seine vertraglichen Verpflichtungen als zuständiger Dublin-Mitgliedstaat im Falle einer Überstellung von Asylsuchenden. Gleiches gilt für das in der Rechtsmitteleingabe zitierte Urteil des Bundesverwaltungsgerichts D-5711/2023 vom 8. Juli 2024. Es handelte sich hierbei nicht um eine vergleichbare Konstellation (dringender Verdacht auf PTBS, Nähe zum in der Schweiz lebenden Bruder, abgeschlossenes Asylverfahren in Rumänien). Die Anwendung von Art. 3 Abs. 2 Dublin-III-VO ist zusammenfassend nicht angezeigt.</w:t>
      </w:r>
    </w:p>
    <w:p>
      <w:r>
        <w:rPr>
          <w:b/>
        </w:rPr>
        <w:t>E. 5.1</w:t>
      </w:r>
    </w:p>
    <w:p>
      <w:r>
        <w:t>Der Beschwerdeführer bringt weiter vor, eine Überstellung nach Rumänien führe zu einer Verletzung von Art. 3 EMRK, weshalb die Vorinstanz das Selbsteintrittsrecht gemäss Art. 17 Abs. 1 Dublin-III-VO obligatorisch auszuüben habe. Es würden ihm Misshandlungen durch die dortigen Behörden und eine Kettenabschiebung drohen.</w:t>
      </w:r>
    </w:p>
    <w:p>
      <w:r>
        <w:rPr>
          <w:b/>
        </w:rPr>
        <w:t>E. 5.2</w:t>
      </w:r>
    </w:p>
    <w:p>
      <w:r>
        <w:t>Trotz der unter Umständen schwierigen Bedingungen für Asylsuchende in Rumänien lassen die Vorbringen des Beschwerdeführers nicht den Schluss zu, er habe nach Einreichung eines Asylgesuchs in Rumänien mit hoher Wahrscheinlichkeit eine unmenschliche oder erniedrigende Behandlung im Sinne von Art. 3 EMRK zu gewärtigen. Mangels anderweitiger Hinweise ist davon auszugehen, dass die rumänischen Behörden in seinem Fall ein faires Asyl- und Wegweisungsverfahren unter Beachtung des Non-Refoulement-Gebots durchführen werden. Sollte er nach seiner Einreise von Behördenvertretern rechtswidrig behandelt werden, ist er - allenfalls unter Zuhilfenahme von Nichtregierungsorganisationen - gehalten, sich an das dortige Justizwesen oder die Aufsichtsbehörden zu wenden. Entgegen seiner Auffassung äusserte sich die Vorinstanz hinlänglich dazu, weshalb eine Überstellung nach Rumänien nicht zu einer Verletzung völkerrechtlicher Verpflichtungen der Schweiz führt. Eine in diesem Zusammenhang gerügte Verletzung der Prüfungs- und Begründungspflicht (Art. 32 Abs. 1 und 35 Abs. 1 VwVG) ist zu verneinen.</w:t>
      </w:r>
    </w:p>
    <w:p>
      <w:r>
        <w:rPr>
          <w:b/>
        </w:rPr>
        <w:t>E. 5.3</w:t>
      </w:r>
    </w:p>
    <w:p>
      <w:r>
        <w:t>In Bezug auf den Gesundheitszustand gab der Beschwerdeführer anlässlich des Dublin-Gesprächs an, an Kopfschmerzen und Vergesslichkeit zu leiden. Seinem Einwand in der Rechtsmitteingabe, es sei schwierig, im Camp einen Termin bei einem Neurologen zu bekommen, ist entgegenzuhalten, dass er sich gemäss Akten nie bezüglich der vorgebrachten gesundheitlichen Probleme beim medizinischen Personal gemeldet hat. Bei dieser Sachlage und aufgrund der bestehenden Mitwirkungspflicht des Beschwerdeführers (Art. 8 Abs. 1 AsylG) drängen sich keine weiteren Abklärungen durch die Vorinstanz auf. Der Beschwerdeführer reichte auch auf Beschwerdeebene keine medizinischen Unterlagen ein und machte keine weitergehenden Angaben zu seinem Gesundheitszustand. Die Rüge der unvollständigen Abklärung des medizinischen Sachverhalts erweist sich als unbegründet. Der Eventualantrag auf Rückweisung der Sache an die Vorinstanz zur Neubeurteilung ist abzuweisen.</w:t>
      </w:r>
    </w:p>
    <w:p>
      <w:r>
        <w:rPr>
          <w:b/>
        </w:rPr>
        <w:t>E. 5.4</w:t>
      </w:r>
    </w:p>
    <w:p>
      <w:r>
        <w:t>Des Weiteren besteht kein Grund zur Annahme, die Gesundheit des Beschwerdeführers wäre bei einer Überstellung nach Rumänien ernsthaft gefährdet. Die von ihm geltend gemachten - aber nicht substantiierten - psychischen Probleme dürften, sofern überhaupt nötig, einer Behandlung in Rumänien zugänglich sein. Sollte er in Rumänien eine medizinische Behandlung benötigen, ist er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5.5</w:t>
      </w:r>
    </w:p>
    <w:p>
      <w:r>
        <w:t>Somit stehen weder Art. 3 EMRK noch andere völkerrechtliche Be-stimmungen einer Überstellung des Beschwerdeführers nach Rumänien entgegen. Die Vorinstanz hat das Selbsteintrittsrecht gemäss Art. 17 Abs. 1 Du-blin-III-VO und Art. 29a Abs. 3 der Asylverordnung 1 vom 11. August 1999 (AsylV 1, SR 142.311) zutreffend nicht ausgeübt. Das ihr zustehende Ermessen hat sie in Vornahme einer hinreichenden Einzelfallprüfung rechtskonform ausgeübt (vgl. BVGE 2015/9 E. 8). Mithin besteht kein Anlass für die Einholung individueller Zusicherungen bezüglich des Zugangs zu Unterbringung, Nahrung und medizinischer Versorgung, weshalb der entsprechende Subeventualantrag abzuweisen ist.</w:t>
      </w:r>
    </w:p>
    <w:p>
      <w:r>
        <w:rPr>
          <w:b/>
        </w:rPr>
        <w:t>E. 6</w:t>
      </w:r>
    </w:p>
    <w:p>
      <w:r>
        <w:t>Die Vorinstanz ist zu Recht auf das Asylgesuch des Beschwerdeführers nicht eingetreten und hat die Wegweisung nach Rumänien angeordnet.</w:t>
      </w:r>
    </w:p>
    <w:p>
      <w:r>
        <w:rPr>
          <w:b/>
        </w:rPr>
        <w:t>E. 7</w:t>
      </w:r>
    </w:p>
    <w:p>
      <w:r>
        <w:t>Nach dem Gesagten ist die Beschwerde abzuweisen. Mit dem vorliegenden Urteil fällt der angeordnete superprovisorische Vollzugsstopp dahin. Das Gesuch um Erteilung der aufschiebenden Wirkung ist gegenstandslos geworden.</w:t>
      </w:r>
    </w:p>
    <w:p>
      <w:r>
        <w:rPr>
          <w:b/>
        </w:rPr>
        <w:t>E. 8.1</w:t>
      </w:r>
    </w:p>
    <w:p>
      <w:r>
        <w:t>Die Begehren erweisen sich als aussichtslos, weshalb das Gesuch um unentgeltliche Prozessführung (Art. 65 Abs. 1 VwVG) abzuweisen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