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F-5673/2020 vom 13. September 2022</w:t>
      </w:r>
    </w:p>
    <w:p>
      <w:r>
        <w:t>Bundesverwaltungsgericht, 2022-09-13, FR</w:t>
      </w:r>
    </w:p>
    <w:p>
      <w:r>
        <w:rPr>
          <w:b/>
        </w:rPr>
        <w:t xml:space="preserve">Quelle: </w:t>
      </w:r>
      <w:r>
        <w:t>https://mcp.opencaselaw.ch/entscheid/bvger_F-5673_2020</w:t>
      </w:r>
    </w:p>
    <w:p>
      <w:r>
        <w:t>FR: TAF F-5673/2020 du 13 septembre 2022</w:t>
      </w:r>
    </w:p>
    <w:p>
      <w:r>
        <w:t>IT: TAF F-5673/2020 del 13 settembre 2022</w:t>
      </w:r>
    </w:p>
    <w:p>
      <w:pPr>
        <w:pStyle w:val="Heading2"/>
      </w:pPr>
      <w:r>
        <w:t>Regeste</w:t>
      </w:r>
    </w:p>
    <w:p>
      <w:r>
        <w:t>Assistance administrative</w:t>
      </w:r>
    </w:p>
    <w:p>
      <w:pPr>
        <w:pStyle w:val="Heading2"/>
      </w:pPr>
      <w:r>
        <w:t>Erwägungen</w:t>
      </w:r>
    </w:p>
    <w:p>
      <w:r>
        <w:rPr>
          <w:b/>
        </w:rPr>
        <w:t>E. 11.1</w:t>
      </w:r>
    </w:p>
    <w:p>
      <w:r>
        <w:t>Pour ce qui est des conditions de fond, le recourant reproche à l'autorité inférieure d'accéder à une demande d'assistance fondée sur des données volées, en violation du principe de la bonne foi et de l'art. 7 let. c LAAF. Dans ce contexte, le recourant avance que la demande du 11 mai 2016 repose sur deux infractions punissables au regard du droit suisse, à savoir l'espionnage économique - c'est-à-dire l'achat illégal par le Land allemand de Rhénanie du Nord-Westphalie des données - et la violation du secret bancaire - soit le transport et l'enregistrement sur le territoire allemand des données des clients de la banque X.________ par un ancien employé de la banque. Selon lui, il existerait un lien de causalité entre ces actes punissables et l'obtention par la France des données sur lesquelles serait fondée la demande litigieuse dès lors que, sans le transfert illicite de données de la banque X.________ Switzerland AG dans les serveurs de la banque X.________ Deutschland AG,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w:t>
      </w:r>
    </w:p>
    <w:p>
      <w:r>
        <w:rPr>
          <w:b/>
        </w:rPr>
        <w:t>E. 11.2</w:t>
      </w:r>
    </w:p>
    <w:p>
      <w:r>
        <w:t>A titre liminaire, la Cour de céans relève qu'il ressort de l'état de fait de la requête qu'une enquête diligentée par le parquet de Bochum et des visites domiciliaires effectuées dans les succursales allemandes de la banque X.________ en mai 2012 et juillet 2013 ont abouti à la saisie de données concernant des contribuables français liés à des comptes ouverts auprès de la banque X.________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X.________ Deutschland AG à Francfort. Le serveur de sauvegarde comprenait des sauvegardes des ordinateurs des employés de la banque X.________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X.________ dans le cadre de cette enquête, le Land allemand de Rhénanie du Nord-Westphalie aurait acheté en août 2012 un CD de données contenant les informations sur des clients enregistrés auprès de la banque X.________ en Suisse. Sur la base de ce CD de données, les autorités allemandes auraient mené des enquêtes contre de nombreux clients allemands de la banque X.________. C'est dans le cadre de ces enquêtes que le parquet de Bochum aurait procédé à diverses perquisitions au siège de la banque X.________ Deutschland AG à Francfort et auprès d'autres sites de la banque X.________ en Allemagne. Lors de la perquisition au siège de la banque X.________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X.________ dans le cadre de la présente procédure d'assistance administrative (cf. Décision finale de l'AFC, ch. 6.4).</w:t>
      </w:r>
    </w:p>
    <w:p>
      <w:r>
        <w:rPr>
          <w:b/>
        </w:rPr>
        <w:t>E. 11.2.1</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5.1.3.1 à 5.1.3.2 ci-après.</w:t>
      </w:r>
    </w:p>
    <w:p>
      <w:r>
        <w:rPr>
          <w:b/>
        </w:rPr>
        <w:t>E. 11.2.2</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w:t>
      </w:r>
    </w:p>
    <w:p>
      <w:r>
        <w:rPr>
          <w:b/>
        </w:rPr>
        <w:t>E. 11.2.3</w:t>
      </w:r>
    </w:p>
    <w:p>
      <w:r>
        <w:t>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Y.________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de la banque X.________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11.2.4</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Partant, le grief tiré de la violation du principe de la bonne foi en lien avec l'utilisation de données volées doit être rejeté.</w:t>
      </w:r>
    </w:p>
    <w:p>
      <w:r>
        <w:rPr>
          <w:b/>
        </w:rPr>
        <w:t>E. 12</w:t>
      </w:r>
    </w:p>
    <w:p>
      <w:r>
        <w:t>Le recourant prétend également que les informations le concernant ne remplissent pas la condition de la pertinence vraisemblable dès lors qu'il n'a pas été fiscalement domicilié en France durant la période visée. Ainsi, au stade du recours, l'intéressé indique avoir été domicilié dans la commune de Lutry (Suisse) entre le 20 juillet 2011 et le 31 octobre 2012, puis, à partir du 1er novembre 2012, dans la commune de Belmont-sur-Lausanne (Suisse). Quant à la fondation B.________, elle aurait été toujours domiciliée au (...).</w:t>
      </w:r>
    </w:p>
    <w:p>
      <w:r>
        <w:rPr>
          <w:b/>
        </w:rPr>
        <w:t>E. 12.1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12.2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13.1</w:t>
      </w:r>
    </w:p>
    <w:p>
      <w:r>
        <w:t>Au vu de ce qui précède, sous réserve du considérant 6.4, le Tribunal constate que les décisions litigieuses satisfont aux exigences de l'assistance administrative en matière fiscale. Le recours est partiellement admis dans la mesure où la décision 1 et la décision 2 de l'AFC du 9 octobre 2020 sont partiellement annulées, uniquement en ce qu'elles concernent la fondation B. ________.</w:t>
      </w:r>
    </w:p>
    <w:p>
      <w:r>
        <w:rPr>
          <w:b/>
        </w:rPr>
        <w:t>E. 13.2</w:t>
      </w:r>
    </w:p>
    <w:p>
      <w:r>
        <w:t>En l'espèce, les frais de procédure s'élèvent à 7'500 francs, compte tenu de la charge de travail liée à la procédure (art. 4 du règlement du 21 février 2008 concernant les frais, dépens et indemnités fixés par le Tribunal administratif fédéral [FITAF, RS 173.320.2]). Dès lors que le recours doit être admis dans une mesure extrêmement marginale (cf. consid. 6.3.1 supra) et rejeté pour le surplus, le gain de cause très partiel du recourant ne doit pas être pris en compte lors de la répartition des frais. Dans ces circonstances, le recourant doit supporter l'intégralité des frais de procédure (art. 63 al. 1 PA). Ceux-ci seront prélevés sur l'avance de frais de 7'500 francs déjà versée.</w:t>
      </w:r>
    </w:p>
    <w:p>
      <w:r>
        <w:rPr>
          <w:b/>
        </w:rPr>
        <w:t>E. 13.3</w:t>
      </w:r>
    </w:p>
    <w:p>
      <w:r>
        <w:t>Vu ce qui précède il n'est pas alloué de dépens (art. 64 al. 1 PA a contrario et art. 7 al. 1 FITAF a contrario ainsi que art. 7 al. 3 FITAF).</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