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F-5672/2020 vom 22. März 2023</w:t>
      </w:r>
    </w:p>
    <w:p>
      <w:r>
        <w:t>Bundesverwaltungsgericht, 2023-03-22, FR</w:t>
      </w:r>
    </w:p>
    <w:p>
      <w:r>
        <w:rPr>
          <w:b/>
        </w:rPr>
        <w:t xml:space="preserve">Quelle: </w:t>
      </w:r>
      <w:r>
        <w:t>https://mcp.opencaselaw.ch/entscheid/bvger_F-5672_2020</w:t>
      </w:r>
    </w:p>
    <w:p>
      <w:r>
        <w:t>FR: TAF F-5672/2020 du 22 mars 2023</w:t>
      </w:r>
    </w:p>
    <w:p>
      <w:r>
        <w:t>IT: TAF F-5672/2020 del 22 marzo 2023</w:t>
      </w:r>
    </w:p>
    <w:p>
      <w:pPr>
        <w:pStyle w:val="Heading2"/>
      </w:pPr>
      <w:r>
        <w:t>Regeste</w:t>
      </w:r>
    </w:p>
    <w:p>
      <w:r>
        <w:t>Assistance administrative</w:t>
      </w:r>
    </w:p>
    <w:p>
      <w:pPr>
        <w:pStyle w:val="Heading2"/>
      </w:pPr>
      <w:r>
        <w:t>Erwägungen</w:t>
      </w:r>
    </w:p>
    <w:p>
      <w:r>
        <w:rPr>
          <w:b/>
        </w:rPr>
        <w:t>E. 5.1</w:t>
      </w:r>
    </w:p>
    <w:p>
      <w:r>
        <w:t>Pour ce qui est des conditions de fond, la recourante fait valoir que la demande de renseignement viole le principe de la bonne foi et celui de la pertinence vraisemblable, dès lors que plusieurs documents, produits en cours de procédure, prouveraient qu'elle n'était plus soumise à l'impôt français au moment déterminant. La seule mention du code « domizil » en France ne devrait pas justifier l'obtention d'informations, de toute manière pas susceptible de clarifier son domicile fiscal, celui-ci étant clair et connu des autorités françaises, puisqu'elle était précisément inscrite en tant que résidente française vivant à l'étranger dès 2007.</w:t>
      </w:r>
    </w:p>
    <w:p>
      <w:r>
        <w:rPr>
          <w:b/>
        </w:rPr>
        <w:t>E. 5.1.1</w:t>
      </w:r>
    </w:p>
    <w:p>
      <w:r>
        <w:t>En l'occurrence, dans l'ATF 146 II 150, le Tribunal fédéral a jugé d'une manière qui lie la Cour de céans (consid. 1.4.3 supra)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(consid. 2.5.2 supra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constituerait une fishing expedition et violerait le principe de la pertinence vraisemblable.</w:t>
      </w:r>
    </w:p>
    <w:p>
      <w:r>
        <w:rPr>
          <w:b/>
        </w:rPr>
        <w:t>E. 5.1.2</w:t>
      </w:r>
    </w:p>
    <w:p>
      <w:r>
        <w:t>En revanche, la question n'a pas été spécifiquement examinée, dans l'arrêt du Tribunal fédéral, de savoir si, compte tenu des éléments concernant l'absence de domicile en France tels qu'invoqués ici par la recourante,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consid. 2.9 supra). En l'occurrence, il est relevé que le Tribunal de céans a déjà eu l'occasion de juger que les codes de domicile français figurant sur les listes B et C constituaient des critères d'assujettissement suffisants pour considérer que les personnes derrière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la recourante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la Suisse, Etat dans lequel la recourante fait valoir avoir été domiciliée fiscalement durant la période sous contrôle n'a pas à être examinée par la Cour de céans.</w:t>
      </w:r>
    </w:p>
    <w:p>
      <w:r>
        <w:rPr>
          <w:b/>
        </w:rPr>
        <w:t>E. 5.1.3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X._______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ci-avant (cf. consid. 5.1.2 supra),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la recourante - que les informations requises ne seraient pas vraisemblablement pertinentes, quel qu'ait été son domicile fiscal entendu au sens international matériel pour les années 2006 et 2008 (arrêt du TAF A-5662/2020 du 10 mai 2021 con-sid. 5.1.4 [par arrêt du 2 juin 2021 rendu en la cause 2C_435/2021, le Tribunal fédéral a déclaré irrecevable le recours interjeté contre cet arrêt]).</w:t>
      </w:r>
    </w:p>
    <w:p>
      <w:r>
        <w:rPr>
          <w:b/>
        </w:rPr>
        <w:t>E. 5.2</w:t>
      </w:r>
    </w:p>
    <w:p>
      <w:r>
        <w:t>Enfin, dès lors que la requête de l'autorité française ne constitue pas une fishing expedition, que les renseignements requis et à transmettre respectent strictement le principe de la pertinence vraisemblable et que le principe de spécialité est lui aussi observé, le principe de proportionnalité (tel que concrétisé dans le domaine de l'assistance administrative en matière fiscale notamment par les éléments précités) doit être considéré comme respecté (arrêt du TAF A-3045/2020 du 29 mars 2021 consid. 5.1.3). Au vu de tout ce qui précède, les griefs invoqués par la recourante doivent être écartés.</w:t>
      </w:r>
    </w:p>
    <w:p>
      <w:r>
        <w:rPr>
          <w:b/>
        </w:rPr>
        <w:t>E. 6.1</w:t>
      </w:r>
    </w:p>
    <w:p>
      <w:r>
        <w:t>Vu les considérants qui précèdent, le recours est rejeté. La recourante,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Ce montant sera prélevé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