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F-5670/2020 vom 13. Dezember 2021</w:t>
      </w:r>
    </w:p>
    <w:p>
      <w:r>
        <w:t>Bundesverwaltungsgericht, 2021-12-13, FR</w:t>
      </w:r>
    </w:p>
    <w:p>
      <w:r>
        <w:rPr>
          <w:b/>
        </w:rPr>
        <w:t xml:space="preserve">Quelle: </w:t>
      </w:r>
      <w:r>
        <w:t>https://mcp.opencaselaw.ch/entscheid/bvger_F-5670_2020</w:t>
      </w:r>
    </w:p>
    <w:p>
      <w:r>
        <w:t>FR: TAF F-5670/2020 du 13 décembre 2021</w:t>
      </w:r>
    </w:p>
    <w:p>
      <w:r>
        <w:t>IT: TAF F-5670/2020 del 13 dicembre 2021</w:t>
      </w:r>
    </w:p>
    <w:p>
      <w:pPr>
        <w:pStyle w:val="Heading2"/>
      </w:pPr>
      <w:r>
        <w:t>Regeste</w:t>
      </w:r>
    </w:p>
    <w:p>
      <w:r>
        <w:t>Assistance administrative</w:t>
      </w:r>
    </w:p>
    <w:p>
      <w:pPr>
        <w:pStyle w:val="Heading2"/>
      </w:pPr>
      <w:r>
        <w:t>Erwägungen</w:t>
      </w:r>
    </w:p>
    <w:p>
      <w:r>
        <w:rPr>
          <w:b/>
        </w:rPr>
        <w:t>E. 5.1</w:t>
      </w:r>
    </w:p>
    <w:p>
      <w:r>
        <w:t>Le recourant a requis en premier lieu la constatation de la nullité de la décision attaquée, d'une part, en relation avec le mode de notification de la « décision attaquée », soit en réalité l'ouverture de la procédure d'assistance administrative, intervenue par publication dans la Feuille fédérale du 26 juillet 2016, d'autre part en relation avec une prétendue violation du droit d'être entendu, au motif que l'AFC n'aurait pas pris en compte son argumentation liée à son domicile en Suisse.</w:t>
      </w:r>
    </w:p>
    <w:p>
      <w:r>
        <w:rPr>
          <w:b/>
        </w:rPr>
        <w:t>E. 5.1.1</w:t>
      </w:r>
    </w:p>
    <w:p>
      <w:r>
        <w:t>S'agissant de l'argument lié à la publication dans la Feuille fédérale, il sied de rappeler que, pour informer une personne habilitée à recourir domiciliée à l'étranger de l'ouverture d'une procédure d'assistance administrative la concernant, l'art. 14 al. 3 LAAF prévoit que l'AFC doit inviter le détenteur des renseignements à faire désigner par cette personne un représentant en Suisse autorisé à recevoir des notifications. Si l'autorité compétente ne procède pas à une notification adéquate au sens de cette disposition, elle commet une violation du droit d'être entendu (cf. ATF 145 II 119 consid. 4.2). Ce principe impose également à l'autorité de rendre les personnes concernées attentives aux conséquences juridiques attachées au défaut de désignation d'un représentant en Suisse.</w:t>
      </w:r>
    </w:p>
    <w:p>
      <w:r>
        <w:rPr>
          <w:b/>
        </w:rPr>
        <w:t>E. 5.1.1.1</w:t>
      </w:r>
    </w:p>
    <w:p>
      <w:r>
        <w:t>En l'absence de communication par le biais du détenteur de renseignements au sens de l'art. 14 al. 3 LAAF - soit parce qu'il n'est pas en mesure de le faire, soit parce qu'il s'y refuse - il appartient à l'autorité de garantir d'une autre manière le droit d'être entendu des personnes concernées, en faisant usage d'un autre mode de notification prévu à l'art. 14 al. 4 et 5 LAAF (cf. ATF 145 II 119 consid. 7). L'art. 14 al. 5 LAAF s'applique lorsqu'une personne habilitée à recourir ne peut être contactée directement. En ce sens, ce mode de notification est subsidiaire à l'information directe prévue à l'al. 4 de l'art. 14 LAAF (cf. ATF 145 II 119 consid. 7.2).</w:t>
      </w:r>
    </w:p>
    <w:p>
      <w:r>
        <w:rPr>
          <w:b/>
        </w:rPr>
        <w:t>E. 5.1.1.2</w:t>
      </w:r>
    </w:p>
    <w:p>
      <w:r>
        <w:t>La notification directe selon l'art. 14 al. 4 LAAF implique qu'une notification par voie postale dans le pays concerné soit admissible ou que l'Etat requérant y consente expressément (cf. let. a et b). Cette disposition s'explique par le fait que la notification d'un acte officiel dans un Etat étranger sans son accord porte atteinte à la souveraineté de ce dernier (cf. ATF 142 III 355 consid. 3.3.3). Il faut donc connaître l'Etat de domicile ou du siège de la personne habilitée à recourir, afin de déterminer s'il existe une convention internationale permettant à la Suisse une notification directe ; quant au consentement exprès de l'Etat requérant, il n'a d'intérêt que si la personne est domiciliée ou a son siège sur le territoire (cf. Charlotte Schoder, StAhiG - Praxiskommentar zum Bundesgesetz über die internationale Amtshilfe in Steuersachen, 2014, n° ad art. 14 LAAF ; Diana Oswald, Verfahrensrechtliche Aspekte der internationale Amtshilfe in Steuersachen, 2015, p. 386).</w:t>
      </w:r>
    </w:p>
    <w:p>
      <w:r>
        <w:rPr>
          <w:b/>
        </w:rPr>
        <w:t>E. 5.1.1.3</w:t>
      </w:r>
    </w:p>
    <w:p>
      <w:r>
        <w:t>L'art. 14 al. 5 LAAF prévoit pour sa part deux modes de notification possibles, à savoir la notification par le biais de l'autorité requérante ou par la publication dans la Feuille fédérale. La notification par voie de la Feuille fédérale, lorsqu'elle est conforme à la loi, entraîne la fiction que les personnes visées par la notification ont eu connaissance de cette dernière (cf. arrêts du TAF A-5540/2013 du 6 janvier 2014 consid. 2.3, A-6011/2012 du 13 mars 2013 consid. 2.2.2).</w:t>
      </w:r>
    </w:p>
    <w:p>
      <w:r>
        <w:rPr>
          <w:b/>
        </w:rPr>
        <w:t>E. 5.1.1.4</w:t>
      </w:r>
    </w:p>
    <w:p>
      <w:r>
        <w:t>En l'espèce, l'autorité inférieure, dans son ordonnance de production du 10 juin 2016, a prié la banque UBS d'informer les personnes concernées et habilitées à recourir de l'ouverture de la procédure d'assistance administrative et des éléments essentiels de la demande. Elle a également informé les personnes concernées de l'ouverture de la procédure par publication dans la Feuille fédérale du 26 juillet 2016. L'autorité inférieure a donc employé les modes de communications prévus à l'art. 14 al. 3 et 5 LAAF pour informer les recourants de l'ouverture d'une procédure d'assistance administrative à leur égard. Il ne peut être reproché à l'autorité inférieure de n'avoir pas essayé de contacter directement le recourant au sens de l'art. 14 al. 4 LAAF. D'une part, il n'existait pas, pour la période d'imposition concernée, de convention bilatérale ou multilatérale entre la Suisse et la France autorisant l'autorité inférieure à informer individuellement la personne habilitée à recourir domiciliée en France au sens de la let. a. D'autre part, pour les personnes concernées ou habilitées à recourir dont la relation d'affaires avec UBS avait été inactivée avant le 10 juin 2016 (date de réception de l'ordonnance de production) au nombre desquelles figuraient également des personnes dont le dernier domicile connu était en Suisse, à l'instar du recourant, l'UBS ne disposait d'aucune instruction fiable et actuelle en matière de correspondance (cf. décision de l'AFC du 12 mai 2020, ch. 9.3 et 9.11). Au moment de la communication, il n'était donc pas possible d'obtenir le consentement exprès de la DGFiP pour effectuer une notification directe sur le territoire français au sens de la let. b, ni d'effectuer une notification par le biais de l'autorité requérante en vertu de l'art. 14 al. 5 LAAF. Il découle de ce qui précède que, ne disposant pas d'adresse fiable en Suisse, aucune notification directe n'étant possible, l'AFC n'avait d'autre choix que de procéder à l'information du recourant par voie de publication dans la Feuille fédérale, conformément à l'art. 14 al. 5 LAAF. En réalité, les publications dans la Feuille fédérale ont permis au recourant de s'identifier comme partie potentiellement intéressées. Après confirmation qu'il était visés par la procédure d'entraide administrative conduite par l'AFC, il a pu accéder à toutes les pièces du dossier et déposer des observations écrites au fond, et ainsi participer à la procédure. Sur ce plan, le Tribunal partage l'opinion de l'autorité inférieure qu'il n'a donc subi aucun désavantage juridique relatif au mode de communication de l'ouverture de la procédure d'assistance administrative par publication dans la Feuille fédérale du 26 juillet 2016.</w:t>
      </w:r>
    </w:p>
    <w:p>
      <w:r>
        <w:rPr>
          <w:b/>
        </w:rPr>
        <w:t>E. 5.1.2</w:t>
      </w:r>
    </w:p>
    <w:p>
      <w:r>
        <w:t>Le recourant s'est par ailleurs également prévalu d'une violation du droit d'être entendu au motif que l'AFC n'aurait pas pris en compte ses déterminations au sujet de l'absence de domicile en France. Certes, il est vrai que dans la décision litigieuse, l'AFC expose de manière standardisée - sans se référer explicitement aux prises de position du recourant - les raisons pour lesquelles elle considère qu'« il existe suffisamment d'indications que les personnes concernées sont résidentes en France, comme l'exige la jurisprudence » et que « l'existence d'un assujettissement en France est ainsi suffisamment démontré » (Décision finale de l'AFC, ch. 4.6). Toutefois, la Cour de céans relève que, nonobstant la reprise de paragraphes standardisés - qui paraît du reste justifiée dans le cadre d'une administration rendant des décisions de masse -, l'argumentation juridique exposée par l'autorité inférieure a permis au recourant de saisir les raisons pour lesquelles cette administration avait considéré que les arguments avancés n'étaient pas déterminants. Tel est ainsi le cas en particulier s'agissant de son moyen tendant à faire valoir qu'il réside en Suisse depuis 2013 et n'était plus domicilié en France depuis longtemps. L'autorité inférieure a en effet expliqué pourquoi, à son avis, le suffixe 111 désignant un domicile en France dans les listes de la banque UBS permettait de fonder la pertinence vraisemblable des renseignements demandés et elle a également indiqué les motifs pour lesquels le code de domicile précité pouvait être considéré comme fiable. Dans ces circonstances, il apparaît que la décision attaquée était suffisamment motivée pour que le recourant saisisse la portée de celle-ci et puisse l'attaquer en toute connaissance de cause, ce qu'elle a du reste fait. En effet, le Tribunal de céans en veut pour preuve le mémoire de recours du recourant, duquel il ressort que celui-ci a parfaitement saisi les arguments de l'autorité inférieure. La Cour relève au surplus que le recourant a pu faire valoir devant elle l'entier de ses arguments afin de démontrer qu'il ne résidait plus en France pendant une grande partie de la période visée. Dans ces circonstances et au vu du pouvoir du plein pouvoir d'examen du Tribunal de céans (cf. consid. 1.4.2 et 1.4.3 supra), il y aurait de toute façon lieu de considérer qu'une violation éventuelle du droit d'être entendu du recourant liée à la standardisation de la décision - qui n'est du reste pas constatée dans le cas d'espèce - aurait été réparée devant le Tribunal de céans.</w:t>
      </w:r>
    </w:p>
    <w:p>
      <w:r>
        <w:rPr>
          <w:b/>
        </w:rPr>
        <w:t>E. 5.1.3</w:t>
      </w:r>
    </w:p>
    <w:p>
      <w:r>
        <w:t>Compte tenu de ce qui précède, les arguments du recourant tirés de la prétendue nullité de la décision attaquée doivent être rejetés.</w:t>
      </w:r>
    </w:p>
    <w:p>
      <w:r>
        <w:rPr>
          <w:b/>
        </w:rPr>
        <w:t>E. 6.1</w:t>
      </w:r>
    </w:p>
    <w:p>
      <w:r>
        <w:t>Le recourant allègue par ailleurs, comme argument de fond, que les informations le concernant ne rempliraient pas la condition de la proportionnalité et de la pertinence vraisemblable, dès lors que « les codes de domicile ne constituent pas un faisceau d'indices suffisants légitimant une résidence fiscale en France ».</w:t>
      </w:r>
    </w:p>
    <w:p>
      <w:r>
        <w:rPr>
          <w:b/>
        </w:rPr>
        <w:t>E. 6.2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retenir que les arguments invoqués par les recourants ne permettent pas de conclure que la demande litigieuse constituerait une fishing expedition et violerait le principe de la pertinence vraisemblable.</w:t>
      </w:r>
    </w:p>
    <w:p>
      <w:r>
        <w:rPr>
          <w:b/>
        </w:rPr>
        <w:t>E. 6.3</w:t>
      </w:r>
    </w:p>
    <w:p>
      <w:r>
        <w:t>En revanche, la question n'a pas été spécifiquement examinée, dans l'arrêt du Tribunal fédéral, de savoir si, compte tenu des éléments concernant l'absence de domicile en France tels qu'invoqués ici par le recourant 1,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w:t>
      </w:r>
    </w:p>
    <w:p>
      <w:r>
        <w:rPr>
          <w:b/>
        </w:rPr>
        <w:t>E. 6.4</w:t>
      </w:r>
    </w:p>
    <w:p>
      <w:r>
        <w:t>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1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1 fait valoir avoir été domicilié fiscalement durant la période sous contrôle n'a pas à être examinée par la Cour de céans. Au vu de ce qui précède, ce grief doit être écarté.</w:t>
      </w:r>
    </w:p>
    <w:p>
      <w:r>
        <w:rPr>
          <w:b/>
        </w:rPr>
        <w:t>E. 7.1</w:t>
      </w:r>
    </w:p>
    <w:p>
      <w:r>
        <w:t>Dans un autre grief, le recourant soutient, dans ses observations du 19 avril 2021, que le principe de spécialité ne serait pas respecté dans le cas d'espèce. A l'appui de ce grief, il argue en substance qu'il existerait un fort risque que l'autorité requérante utilise - en violation du principe précité - les informations reçues par le biais de la présente procédure d'assistance administrative à d'autres fins que fiscales, spécialement dans le cadre de la procédure pénale menée contre la banque UBS en France.</w:t>
      </w:r>
    </w:p>
    <w:p>
      <w:r>
        <w:rPr>
          <w:b/>
        </w:rPr>
        <w:t>E. 7.1.1</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7.1.2</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7.2</w:t>
      </w:r>
    </w:p>
    <w:p>
      <w:r>
        <w:t>Vu l'issue de la cause, il n'est pas alloué de dépens (art. 64 al. 1 PA et art. 7 al. 1 FITAF a contrario).</w:t>
      </w:r>
    </w:p>
    <w:p>
      <w:r>
        <w:rPr>
          <w:b/>
        </w:rPr>
        <w:t>E. 7.3</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8.1</w:t>
      </w:r>
    </w:p>
    <w:p>
      <w:r>
        <w:t>Le recourant fait également état d'une violation du principe de la bonne foi qui résulterait d'une violation de la procédure française. Ainsi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w:t>
      </w:r>
    </w:p>
    <w:p>
      <w:r>
        <w:rPr>
          <w:b/>
        </w:rPr>
        <w:t>E. 8.2</w:t>
      </w:r>
    </w:p>
    <w:p>
      <w:r>
        <w:t>Cet argument ne saurait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 recourant de faire valoir ses griefs relatifs à un éventuel risque de double imposition, respectivement de solliciter la prise en compte du prélèvement selon l'AFIsE, devant les autorités compétentes françaises.</w:t>
      </w:r>
    </w:p>
    <w:p>
      <w:r>
        <w:rPr>
          <w:b/>
        </w:rPr>
        <w:t>E. 9.1</w:t>
      </w:r>
    </w:p>
    <w:p>
      <w:r>
        <w:t>Le recourant a enfin requis la suspension de la présente procédure jusqu'à « droit jugé en France s'agissant des questions prioritaires de constitutionnalité déposée dans la procédure pénale menée contre la banque UBS ».</w:t>
      </w:r>
    </w:p>
    <w:p>
      <w:r>
        <w:rPr>
          <w:b/>
        </w:rPr>
        <w:t>E. 9.2</w:t>
      </w:r>
    </w:p>
    <w:p>
      <w:r>
        <w:t>Selon la jurisprudence du TF, une procédure peut être certes suspendue pour des motifs d'opportunité, mais elle ne doit être admise qu'exceptionnellement, notamment lorsqu'il se justifie d'attendre la décision d'une autre autorité (cf. ATF 130 V 90 consid 5 ; ATF 138 II 386 consid. 7 et 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en matière fiscale, seule des circonstances exceptionnelles justifient ainsi la suspension d'une procédure en cours en ce domaine (arrêt du TF 2C_801/2020 du 7 octobre 2020 consid. 4et arrêt du TF 2C_804/2019 du 21 avril 2020 consid 3.4 et sv.).</w:t>
      </w:r>
    </w:p>
    <w:p>
      <w:r>
        <w:rPr>
          <w:b/>
        </w:rPr>
        <w:t>E. 9.3</w:t>
      </w:r>
    </w:p>
    <w:p>
      <w:r>
        <w:t>En l'espèce, les circonstances du cas d'espèce, soit le dépôt d'un recours par la banque UBS dans une autre procédure à laquelle le recourant n'est pas partie et dont il n'est pas démontré que l'issue pourrait avoir un impact sur la présente procédure de recours, ne suffisent en aucun cas à conclure à de telles circonstances exceptionnelles. Le Tribunal relève au surplus qu'il ressort d'informations publiques que la Cour d'appel de Paris a refusé, le 18 juin 2021, de transmettre au Conseil constitutionnel une question prioritaire de constitutionnalité (QPC) déposée par la défense de la banque suisse UBS en mars à l'issue de son procès en appel et qu'avec le rejet de cette QPC, le dossier peut suivre son cours sans changement (cf. https://www.reuters.com/article/ubs-france-idFRKCN2E4153). La requête de suspension de procédure est en conséquence rejetée.</w:t>
      </w:r>
    </w:p>
    <w:p>
      <w:r>
        <w:rPr>
          <w:b/>
        </w:rPr>
        <w:t>E. 10.1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du même montant versée le 29 janvier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