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F-5669/2020 vom 30. August 2022</w:t>
      </w:r>
    </w:p>
    <w:p>
      <w:r>
        <w:t>Bundesverwaltungsgericht, 2022-08-30, FR</w:t>
      </w:r>
    </w:p>
    <w:p>
      <w:r>
        <w:rPr>
          <w:b/>
        </w:rPr>
        <w:t xml:space="preserve">Quelle: </w:t>
      </w:r>
      <w:r>
        <w:t>https://mcp.opencaselaw.ch/entscheid/bvger_F-5669_2020</w:t>
      </w:r>
    </w:p>
    <w:p>
      <w:r>
        <w:t>FR: TAF F-5669/2020 du 30 août 2022</w:t>
      </w:r>
    </w:p>
    <w:p>
      <w:r>
        <w:t>IT: TAF F-5669/2020 del 30 agosto 2022</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informations le concernant ne rempliraient pas la condition de la pertinence vraisemblable étant donné que les requêtes présentées par les autorités françaises consisteraient en fait à une pêche aux renseignements prohibée et ne viseraient en aucune façon à « prouver des faits qui indiquent un comportement illégal de la part des contribuables du groupe », comme l'exigent les règles en la matière. Selon le recourant, les autorités françaises n'auraient pas exposé les raisons laissant à penser qu'il n'aurait pas rempli ses obligations fiscales, et cela d'autant moins qu'il fut l'objet de deux « Examen contradictoire de la situation fiscale personnelle » diligentés par les autorités françaises.</w:t>
      </w:r>
    </w:p>
    <w:p>
      <w:r>
        <w:rPr>
          <w:b/>
        </w:rPr>
        <w:t>E. 5.1.2</w:t>
      </w:r>
    </w:p>
    <w:p>
      <w:r>
        <w:t>En l'occurrence, dans l'ATF 146 II 150, le Tribunal fédéral a jugé d'une manière qui lie la Cour de céans (cf. supra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supra consid. 4.2 ) - répondait aux trois critères développés par la jurisprudence en lien avec les demandes groupées, applicables par analogie aux « demandes collectives », permettant d'exclure l'existence d'une fishing expedition (cf. supra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 Dans ce contexte et au vu des conclusions auxquelles a abouti le Tribunal fédéral, les deux contrôles fiscaux dont le recourant a fait l'objet sont sans pertinence.</w:t>
      </w:r>
    </w:p>
    <w:p>
      <w:r>
        <w:rPr>
          <w:b/>
        </w:rPr>
        <w:t>E. 5.2.1</w:t>
      </w:r>
    </w:p>
    <w:p>
      <w:r>
        <w:t>Quant au grief de la violation du principe de subsidiarité et du principe de la bonne foi, le recourant allègue que les autorités requérantes n'auraient pas épuisé au préalable les sources habituelles de renseignements prévues par sa procédure fiscale interne avant de présenter une demande de renseignements à la Suisse. Dès lors, il a en particulier considéré que « la démarche française ne répond[ait] pas à l'exigence de loyauté qui lui incomb[ait] également dans l'exécution de ses engagements conventionnels ».</w:t>
      </w:r>
    </w:p>
    <w:p>
      <w:r>
        <w:rPr>
          <w:b/>
        </w:rPr>
        <w:t>E. 5.2.2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supra consid. 2.4.2),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5.2.3</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le recourant. De plus, aucun élément en l'espèce ne justifierait de reconsidérer la bonne foi de l'autorité inférieure quant aux conditions dans lesquelles la demande d'assistance administrative a été déposée. Compte tenu de ce qui précède, le respect du principe de subsidiarité et du principe de la bonne foi doit être considéré comme donné.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