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F-5656/2017 vom 15. November 2018</w:t>
      </w:r>
    </w:p>
    <w:p>
      <w:r>
        <w:t>Bundesverwaltungsgericht, 2018-11-15, DE</w:t>
      </w:r>
    </w:p>
    <w:p>
      <w:r>
        <w:rPr>
          <w:b/>
        </w:rPr>
        <w:t xml:space="preserve">Quelle: </w:t>
      </w:r>
      <w:r>
        <w:t>https://mcp.opencaselaw.ch/entscheid/bvger_F-5656_2017</w:t>
      </w:r>
    </w:p>
    <w:p>
      <w:r>
        <w:t>FR: TAF F-5656/2017 du 15 novembre 2018</w:t>
      </w:r>
    </w:p>
    <w:p>
      <w:r>
        <w:t>IT: TAF F-5656/2017 del 15 novembre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3.1</w:t>
      </w:r>
    </w:p>
    <w:p>
      <w:r>
        <w:t>Der Beschwerdeführer beanstandet die angefochtene Verfügung zunächst in formeller Hinsicht, indem er der Vorinstanz eine ungenügende Begründung in Bezug auf die Dauer und Verhältnismässigkeit des Einreiseverbots vorwirft. Fraglich ist, ob dieser Vorwurf berechtigt ist, denn die Begründungspflicht, ausdrücklich geregelt in Art. 35 VwVG und Teilgehalt des sich aus Art. 29 Abs. 2 BV ergebenden Anspruchs auf rechtliches Gehör, verlangt nicht, dass sich die Behörde mit allen Parteistandpunkten einlässlich auseinandersetzt und jedes einzelne Vorbringen ausdrücklich widerlegt. Vielmehr darf sie sich auf die entscheidwesentlichen Faktoren beschränken, wenn der Betroffene dadurch die Tragweite des Entscheids erkennen und diesen sachgerecht anfechten kann (vgl. BGE 142 II 49 E. 9.2).</w:t>
      </w:r>
    </w:p>
    <w:p>
      <w:r>
        <w:rPr>
          <w:b/>
        </w:rPr>
        <w:t>E. 3.2</w:t>
      </w:r>
    </w:p>
    <w:p>
      <w:r>
        <w:t>Diesen Erfordernissen hat die Vorinstanz in ihrer Verfügung Rechnung getragen. Zum einen ist festzuhalten, dass sie, auf Gesuch des Beschwerdeführers hin, eine Reduzierung des unbefristeten Einreiseverbots vom 23. August 2010 vorgenommen hat: Schon deshalb stand zu erwarten, dass die abgeänderte Massnahme von einer schwerwiegenden Gefahr für die öffentliche Sicherheit und Ordnung ausgehen und die Regelhöchstdauer von fünf Jahren (Art. 67 Abs. 3 AuG) überschreiten würde. Angesichts des inhaltlichen Zusammenhangs beider Verfügungen durfte die neuere daher auch eine geringere Begründungsdichte aufweisen. Vor diesem Hintergrund ist - zum anderen - festzustellen, dass die Vor-instanz auf die wesentlichen Punkte der abgeänderten Fernhaltemassnahme eingegangen ist: Sie hat sowohl auf die der Massnahme zugrunde liegende Verurteilung vom 29. Januar 2008 und die daraus resultierende Freiheitsstrafe von fast acht Jahren als auch auf den dafür massgeblichen strafrechtlichen Sachverhalt Bezug genommen. Die insoweit beschriebene Beteiligung des Beschwerdeführers an der Lieferung und dem Verkauf von knapp 20 Kilogramm Heroin sowie die in diesem Kontext als angezeigt bezeichnete Fernhaltemassnahme im Sinne von Art. 67 Abs. 3 Satz 2 AuG genügen zur ausreichenden Begründung der Verfügung. Auch der vom Beschwerdeführer in diesem Zusammenhang erhobene Einwand der fehlenden Interessenabwägung geht fehl. Die Vorinstanz hat in ihrer Verfügung zwar nur das Ergebnis der Interessenabwägung, nämlich das Überwiegen des öffentlichen Interesses an der Aufrechterhaltung des Einreiseverbots festgehalten; dass sie die privaten bzw. familiären Interessen des Beschwerdeführerführers kannte und im Rahmen zahlreicher Suspensionen ausgiebig berücksichtigte, ergibt sich jedenfalls aus den entsprechenden Akten.</w:t>
      </w:r>
    </w:p>
    <w:p>
      <w:r>
        <w:rPr>
          <w:b/>
        </w:rPr>
        <w:t>E. 3.3</w:t>
      </w:r>
    </w:p>
    <w:p>
      <w:r>
        <w:t>Die vom Beschwerdeführer zusätzlich und angeblich der Vollständigkeit halber erhobene Rüge, vor Erlass des Einreiseverbots nicht angehört worden zu sein (vgl. Ziffer 3 der Beschwerdeschrift) lässt sich ebenso wenig aufrecht erhalten. Dem Akteninhalt zufolge informierte ihn die Vorin-stanz am 1. September 2017 über die vorgenommene formlose Anpassung des Einreiseverbots auf zehn Jahre und stellte ihm, falls gewünscht, eine förmliche Verfügung in Aussicht (Vorakten S. 314). Auf die damit gegebene Möglichkeit der Stellungnahme hat der Beschwerdeführer jedoch bewusst verzichtet, erkennbar daran, dass sich sein Rechtsvertreter am 6. September 2016 in Erwartung des neu verfügten Einreiseverbots nur zum zuvor eingereichten Suspensionsgesuch äusserte (Vorakten S. 316).</w:t>
      </w:r>
    </w:p>
    <w:p>
      <w:r>
        <w:rPr>
          <w:b/>
        </w:rPr>
        <w:t>E. 3.4</w:t>
      </w:r>
    </w:p>
    <w:p>
      <w:r>
        <w:t>In formeller Hinsicht lässt sich die angefochtene Verfügung somit unter keinem Aspekt beanstanden. Mit der Behauptung der Gehörsverletzung und der Absicht, dadurch eine Neubeurteilung der Vorinstanz zu erzwingen, dringt der Beschwerdeführer folglich nicht durch.</w:t>
      </w:r>
    </w:p>
    <w:p>
      <w:r>
        <w:rPr>
          <w:b/>
        </w:rPr>
        <w:t>E. 4.1</w:t>
      </w:r>
    </w:p>
    <w:p>
      <w:r>
        <w:t>Landesrechtliche Grundlage der angefochtenen Verfügung vom 11. September 2017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F-7649/2016 vom 13. März 2018 E. 3.2 m.H.).</w:t>
      </w:r>
    </w:p>
    <w:p>
      <w:r>
        <w:rPr>
          <w:b/>
        </w:rPr>
        <w:t>E. 5.1</w:t>
      </w:r>
    </w:p>
    <w:p>
      <w:r>
        <w:t>Im vorliegenden Fall hat die Vorinstanz die angefochtene Verfügung mit der Verurteilung des Beschwerdeführers vom 29. Januar 2008 begründet. Zweifellos stellen die ihr zugrunde liegenden Delikte (vgl. Sachverhalt A) Verstösse gegen die öffentliche Sicherheit und Ordnung dar, was vom Beschwerdeführer auch gar nicht bestritten wird. Allerdings meint er, die von ihm ausgehende Gefahr sei zu relativieren, weil die von ihm 2004/2005 begangenen Straftaten schon lange zurücklägen und er sich während der suspensionsbedingten Besuchsaufenthalte in der Schweiz nichts habe zuschulden kommen lassen. Dieser Einwand führt im gegenwärtigen Zeitpunkt jedoch nicht zu einer günstigeren Gefahrenprognose, denn auch in seinem bundesgerichtlichen Aufenthaltsverfahren wurde aufgrund der Art und Schwere der von ihm begangenen Rechtsgüterverletzungen die vergangene Zeitspanne als (noch) zu kurz betrachtet, um das öffentliche Interesse an seiner Fernhaltung entscheidend in Frage zu stellen (vgl. zitiertes Urteil des BGer 2C_299/2017 E. 4.6). Im vorliegenden Verfahren, welches ein Einreiseverbot zum Gegenstand hat, gilt dies genauso.</w:t>
      </w:r>
    </w:p>
    <w:p>
      <w:r>
        <w:rPr>
          <w:b/>
        </w:rPr>
        <w:t>E. 5.2</w:t>
      </w:r>
    </w:p>
    <w:p>
      <w:r>
        <w:t>Fernhaltemassnahmen, welche die in Art. 67 Abs. 3 Satz 1 AuG genannte Höchstdauer von fünf Jahren überschreiten, sind - wie oben (E. 4.1) dargelegt - nur dann zulässig, wenn die betroffene Person eine schwerwiegende Gefahr für die öffentliche Sicherheit und Ordnung darstellt. Eine solche Gefahr kann sich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w:t>
      </w:r>
    </w:p>
    <w:p>
      <w:r>
        <w:rPr>
          <w:b/>
        </w:rPr>
        <w:t>E. 6.1</w:t>
      </w:r>
    </w:p>
    <w:p>
      <w:r>
        <w:t>Der Vorinstanz zufolge resultiert die vom Beschwerdeführer ausgehende schwerwiegende Gefahr vor allem aus den im Zeitraum von Mai bis Dezember 2004 begangenen qualifizierten Drogendelikten, wobei er als Mitglied einer Bande - auf mittlerer Stufe der Drogenhierarchie - aus rein finanziellen Gründen eine erhebliche Menge Drogen umsetzte (vgl. zitiertes Urteil des BGer 2C_299/2017 E. 4.5.1 sowie Urteil des Verwaltungsgerichts des Kantons Zürich vom 1. Februar 2017 [Vorakten S. 275] mit Hinweis auf die massgeblichen Straftatbestände der damals in Kraft stehenden Fassung von Art. 19 BetmG [SR 812.121]).</w:t>
      </w:r>
    </w:p>
    <w:p>
      <w:r>
        <w:rPr>
          <w:b/>
        </w:rPr>
        <w:t>E. 6.2</w:t>
      </w:r>
    </w:p>
    <w:p>
      <w:r>
        <w:t>Eine wie die soeben geschilderte Vorgehensweise spricht generell für eine besondere Tätergefährlichkeit, denn qualifizierte Widerhandlungen gegen das Betäubungsmittelgesetz haben nicht nur in Bezug auf den Kreis der Opfer, sondern auch angesichts ihrer räumlichen Ausbreitungsmöglichkeiten gravierende Auswirkungen (vgl. E. 4.3). Keine andere Betrachtungsweise ergibt sich in Bezug auf den als Drogenhändler agierenden Beschwerdeführer, dem das Obergericht des Kantons Zürich im Urteil vom 29. Januar 2008 sowohl sehr schweres Verschulden als auch fehlende Einsicht und Reue und - angesichts seiner Vorstrafen - eine erhebliche Unbelehrbarkeit attestiert hat (zu Vorstehendem: zitiertes Urteil des BGer 2C_299/2017 E. 4.5.1).</w:t>
      </w:r>
    </w:p>
    <w:p>
      <w:r>
        <w:rPr>
          <w:b/>
        </w:rPr>
        <w:t>E. 6.3</w:t>
      </w:r>
    </w:p>
    <w:p>
      <w:r>
        <w:t>Damit ist festzuhalten, dass der Beschwerdeführer sowohl bei Erlass der ursprünglichen Verfügung vom 23. August 2010 als auch seit Erlass der korrigierten Verfügung vom 11. September 2017 eine schwerwiegende Gefahr für die öffentliche Sicherheit und Ordnung darstellte bzw. darstellt. Die fünfjährige Regelhöchstdauer des Einreiseverbots durfte daher überschritten werden. Angesichts des geschilderten strafrechtlichen Hintergrunds und der aktuellen Praxis zur Reduktion von ehemals unbefristeten Fernhaltemassnahmen hat die Vorinstanz das neue Einreiseverbot auf zehn Jahre befristet.</w:t>
      </w:r>
    </w:p>
    <w:p>
      <w:r>
        <w:rPr>
          <w:b/>
        </w:rPr>
        <w:t>E. 7.1</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Auflage 2016, S. 125).</w:t>
      </w:r>
    </w:p>
    <w:p>
      <w:r>
        <w:rPr>
          <w:b/>
        </w:rPr>
        <w:t>E. 7.2</w:t>
      </w:r>
    </w:p>
    <w:p>
      <w:r>
        <w:t>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Migrationsbehörden die öffentliche Sicherheit und Ordnung in den Vordergrund und wenden bei ihrer Legalprognose einen strengeren und über die strafrechtliche Bewährungsfrist hinausgehenden Massstab an (vgl. BGE 137 II 233 E. 5.2.2). Vor diesem Hintergrund ist das für die Dauer von zehn Jahren verfügte Einreiseverbot - vorbehältlich der noch durchzuführenden Interessenabwägung - prinzipiell nicht zu beanstanden.</w:t>
      </w:r>
    </w:p>
    <w:p>
      <w:r>
        <w:rPr>
          <w:b/>
        </w:rPr>
        <w:t>E. 7.3</w:t>
      </w:r>
    </w:p>
    <w:p>
      <w:r>
        <w:t>Dem öffentlichen Interesse an seiner Fernhaltung sind die privaten Interessen des Beschwerdeführers gegenüberzustellen. Dieser beruft sich in seiner Eingabe vom 15. Juni 2018 insbesondere darauf, dass sich der Gesundheitszustand seiner Ehefrau weiterhin verschlechtert habe und dass daher sowohl sie als auch die beiden Kinder auf seine Betreuung angewiesen seien. In der nachfolgenden Eingabe vom 20. Juni 2018 informierte er über die kurz vorher erfolgte Einbürgerung seiner Ehefrau, womit seiner Meinung nach ihr Anspruch auf ein Familienleben in der Schweiz noch bekräftigt worden sei. Ob das eine oder das andere Vorbringen genügt, um den privaten Interessen des Beschwerdeführers und seiner Familie Vorrang vor dem öffentlichen Interesse an seiner Fernhaltung einzuräumen, ist fraglich. Das Vorbringen des Beschwerdeführers zielt darauf ab, sich nach Aufhebung des angefochtenen Verfügung uneingeschränkt bei seinen Familienangehörigen in der Schweiz aufhalten zu können. Darum geht es im vorliegenden Verfahren allerdings nicht. Stattdessen ist festzuhalten, dass der Beschwerdeführer bereits aufgrund seiner im September 2009 weggefallenen Aufenthaltsbewilligung nicht mehr bei seiner Familie Wohnsitz nehmen darf und dass sein im September 2015 gestelltes Begehren um Wiedererteilung mit letztinstanzlichem Entscheid des Bundesgerichts vom 11. Januar 2018 abgewiesen wurde. Das über ihn verhängte Einreiseverbot hat, über das fehlende Aufenthaltsrecht hinausgehend, lediglich zur Folge, dass er seine in der Schweiz lebenden Angehörigen nicht einmal im Rahmen der Visumsbestimmungen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w:t>
      </w:r>
    </w:p>
    <w:p>
      <w:r>
        <w:rPr>
          <w:b/>
        </w:rPr>
        <w:t>E. 7.4</w:t>
      </w:r>
    </w:p>
    <w:p>
      <w:r>
        <w:t>Angesichts dessen geht es im Falle des Beschwerdeführers lediglich darum, wie weit die durch das Einreiseverbot verursachten zusätzlichen Einschränkungen seines Familienlebens reichen dürfen. Dabei darf die im Aufenthaltsverfahren vorgenommene Verhältnismässigkeitsprüfung des Bundesgerichts insoweit berücksichtigt werden, als bei thematisch ähnlichem Beschwerdevorbringen gleich gelagerte öffentliche und private Interessen gegenübergestellt wurden.</w:t>
      </w:r>
    </w:p>
    <w:p>
      <w:r>
        <w:rPr>
          <w:b/>
        </w:rPr>
        <w:t>E. 7.4.1</w:t>
      </w:r>
    </w:p>
    <w:p>
      <w:r>
        <w:t>Im Hinblick auf den bereits dort geltend gemachten Unterstützungsbedarf von Ehefrau und Kindern hatte das Bundesgericht zwar eingeräumt, dass sich die Rückkehr des Beschwerdeführers positiv auf die familiäre Situation - insbesondere für die durch die Trennungssituation belastete Ehefrau - auswirken könnte; gleichzeitig hat es aber auch darauf hingewiesen, dass die Ehefrau durch ihren Verbleib in der Schweiz den Verzicht auf ein gemeinsames Familienleben bewusst in Kauf genommen hat. Bezüglich der beiden Kinder, im Zeitpunkt des Urteils 18 und 16 Jahre alt, hat das Bundesgericht zum einen die Betreuungsbedürftigkeit stark relativiert, zum anderen darauf hingewiesen, dass deren Beziehung zum Vater bereits seit Beginn seiner Untersuchungshaft im Jahr 2005 nur in eingeschränktem Masse gelebt werden konnte (zu Vorstehendem: zitiertes Urteil des BGer 2C_299/2017 E. 4.5.3 und 4.5.4).</w:t>
      </w:r>
    </w:p>
    <w:p>
      <w:r>
        <w:rPr>
          <w:b/>
        </w:rPr>
        <w:t>E. 7.4.2</w:t>
      </w:r>
    </w:p>
    <w:p>
      <w:r>
        <w:t>Die im Ergebnis zu Ungunsten des Beschwerdeführers ausfallende Interessenabwägung des Bundesgerichts kann, da es auch dort um seine Fernhaltung geht, für das vorliegende Verfahren übernommen werden. Zusätzlich stellt sich nur die Frage, ob sich die familiären Interessen des Beschwerdeführers und seiner Familie zwischenzeitlich so verändert haben, dass sie das öffentliche Interesse überwiegen und zu einer zeitlichen Reduktion des Einreiseverbots führen können.</w:t>
      </w:r>
    </w:p>
    <w:p>
      <w:r>
        <w:rPr>
          <w:b/>
        </w:rPr>
        <w:t>E. 7.4.2.1</w:t>
      </w:r>
    </w:p>
    <w:p>
      <w:r>
        <w:t>Der weiterhin verschlechterte Gesundheitszustand der Ehefrau ist allerdings kein Umstand, der diesbezüglich zu berücksichtigen wäre. Zum einen ist auch hier zu betonen, dass sich die Ehegatten mit der Ausschaffung des Beschwerdeführers bewusst zum Getrenntleben entschieden haben; zum anderen ist festzuhalten, dass der Beschwerdeführer seine Ehefrau ohnehin nur im Falle eines eigenen Aufenthaltsrechts im gewünschten Ausmass unterstützen könnte. Ihre vollumfängliche Betreuung liegt daher gar nicht im Bereich seiner Möglichkeiten, sondern muss erforderlichenfalls von den in der Schweiz lebenden Angehörigen - eventuell unter Inanspruchnahme professioneller Hilfe - organisiert werden. Es kommt somit auch nicht darauf an, ob ein Teil der Verwandtschaft keine persönliche Unterstützung mehr leisten will oder kann. In diesem Zusammenhang darf darauf hingewiesen werden, dass die Tochter des Beschwerdeführers (geboren im September 1999) mittlerweile 19 Jahre alt ist und der Sohn (geboren im August 2001) im kommenden Jahr volljährig wird.</w:t>
      </w:r>
    </w:p>
    <w:p>
      <w:r>
        <w:rPr>
          <w:b/>
        </w:rPr>
        <w:t>E. 7.4.2.2</w:t>
      </w:r>
    </w:p>
    <w:p>
      <w:r>
        <w:t>Die mittlerweile erfolgte Einbürgerung der Ehefrau stellt die Verhältnismässigkeit des Einreiseverbots ebenso wenig in Frage. Das Schweizer Bürgerrecht begünstigt zwar von Gesetzes wegen den Familiennachzug von im Ausland lebenden Ehegatten (vgl. Art. 42 AuG); dafür, dass es die Verhältnismässigkeitsprüfung eines Einreiseverbots und die damit einhergehende Interessenabwägung beeinflussen und den Ausschlag für ein überwiegendes privates Interesse geben sollte, gibt es jedoch keine Anhaltspunkte. In Bezug auf den vorliegenden Fall ist zudem festzustellen, dass auch das Bundesgericht - es hat denselben, sich bereits aus der Niederlassungsbewilligung der Ehefrau ergebenden Anspruch auf Familiennachzug (vgl. Art. 43 AuG) geprüft - eine Interessenabwägung bezüglich der Fernhaltung des Beschwerdeführers vorgenommen hat. Dabei hat es seiner im Januar 2008 erfolgten strafrechtlichen Verurteilung nach wie vor genügend Gewicht beigemessen, um ihm den Aufenthalt bei seiner Ehefrau und seinen Kindern auch heute noch zu verwehren (zum Wortlaut: vgl. zitiertes Urteil des BGer 2C_299/2017 E. 4.5).</w:t>
      </w:r>
    </w:p>
    <w:p>
      <w:r>
        <w:rPr>
          <w:b/>
        </w:rPr>
        <w:t>E. 7.4.3</w:t>
      </w:r>
    </w:p>
    <w:p>
      <w:r>
        <w:t>Vor diesem Hintergrund rechtfertigen die vom Beschwerdeführer auch im vorliegenden Verfahren geltend gemachten familiären Interessen keine Kürzung bzw. Aufhebung des Einreiseverbots zum gegenwärtigen Zeitpunkt. Der Deutlichkeit halber ist hinzuzufügen, dass sein klagloses Verhalten bei den suspensionsbedingten Besuchsaufenthalten keine andere Einschätzung der von ihm ausgehenden Gefahr für die öffentliche Sicherheit und Ordnung zulässt: Zum einen ist Wohlverhalten in diesem Rahmen unabdingbar, um die Erteilung weiterer Suspensionen nicht zu gefährden; zum anderen sind deren Zeitspannen - anders als bei den nach Schengenrecht möglichen Besuchen von bis zu 90 Tagen - zu begrenzt, um die früheren kriminellen Strukturen (vgl. E. 6.1) wieder oder ganz neu aufbauen zu können.</w:t>
      </w:r>
    </w:p>
    <w:p>
      <w:r>
        <w:rPr>
          <w:b/>
        </w:rPr>
        <w:t>E. 7.4.4</w:t>
      </w:r>
    </w:p>
    <w:p>
      <w:r>
        <w:t>Auf die vom Beschwerdeführer eingereichten ärztlichen Stellungnahmen und Unterstützungsschreiben braucht angesichts der vorstehenden Erwägungen nicht mehr näher eingegangen zu werden. Ebenfalls obsolet ist ein Vergleich mit anderen und jeweils individuell beurteilten Einreiseverboten.</w:t>
      </w:r>
    </w:p>
    <w:p>
      <w:r>
        <w:rPr>
          <w:b/>
        </w:rPr>
        <w:t>E. 7.5</w:t>
      </w:r>
    </w:p>
    <w:p>
      <w:r>
        <w:t>Nach alledem führt die Abwägung der vorliegenden öffentlichen und privaten Interessen zum Ergebnis, dass das auf zehn Jahre befristete Einreiseverbot eine verhältnismässige und angemessene Massnahme zum Schutz der öffentlichen Sicherheit und Ordnung darstellt. Der Bedeutung des Einreiseverbots entsprechend wurde der Beschwerdeführer im Schengener Informationssystem (SIS II) zur Einreiseverweigerung ausgeschrieben (vgl. Art. 21 und Art. 24 SIS II-Verordnung sowie Art. 20 - 22 der Verordnung über den nationalen Teil des Schengener Informationssystems (N- SIS) und das SIRENE-Büro (N-SIS-Verordnung vom 8. März 2013 [SR 362.0]).</w:t>
      </w:r>
    </w:p>
    <w:p>
      <w:r>
        <w:rPr>
          <w:b/>
        </w:rPr>
        <w:t>E. 8</w:t>
      </w:r>
    </w:p>
    <w:p>
      <w:r>
        <w:t>Die angefochtene Verfügung ist somit bundesrechtskonform (vgl. Art. 49 VwVG) und die Beschwerde demzufolge abzuweisen</w:t>
      </w:r>
    </w:p>
    <w:p>
      <w:r>
        <w:rPr>
          <w:b/>
        </w:rPr>
        <w:t>E. 9</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