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F-5651/2024 vom 16. September 2024</w:t>
      </w:r>
    </w:p>
    <w:p>
      <w:r>
        <w:t>Bundesverwaltungsgericht, 2024-09-16, FR</w:t>
      </w:r>
    </w:p>
    <w:p>
      <w:r>
        <w:rPr>
          <w:b/>
        </w:rPr>
        <w:t xml:space="preserve">Quelle: </w:t>
      </w:r>
      <w:r>
        <w:t>https://mcp.opencaselaw.ch/entscheid/bvger_F-5651_2024</w:t>
      </w:r>
    </w:p>
    <w:p>
      <w:r>
        <w:t>FR: TAF F-5651/2024 du 16 septembre 2024</w:t>
      </w:r>
    </w:p>
    <w:p>
      <w:r>
        <w:t>IT: TAF F-5651/2024 del 16 settembre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1.3</w:t>
      </w:r>
    </w:p>
    <w:p>
      <w:r>
        <w:t>Saisi d'un recours contre une décision de non-entrée en matière sur une demande d'asile, le Tribunal se limite à examiner le bien-fondé d'une telle décision (cf. ATAF 2017 VI/5 consid. 3.1).</w:t>
      </w:r>
    </w:p>
    <w:p>
      <w:r>
        <w:rPr>
          <w:b/>
        </w:rPr>
        <w:t>E. 2.1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2.3</w:t>
      </w:r>
    </w:p>
    <w:p>
      <w:r>
        <w:t>Dans une procédure de reprise en charge (en anglais : take back), telle la présente procédure, dès lors qu'un Etat membre a déjà été saisi d'une demande d'asile et a admis sa responsabilité pour l'examiner, il n'appartient pas en général à un autre Etat membre saisi ultérieurement d'une demande d'asile de procéder à une nouvelle détermination de l'Etat membre responsable (cf. ATAF 2019 VI/7 consid. 6.4.1.3 et 2017 VI/5 consid. 6.2, 6.3, 8.2.1 et 8.3).</w:t>
      </w:r>
    </w:p>
    <w:p>
      <w:r>
        <w:rPr>
          <w:b/>
        </w:rPr>
        <w:t>E. 2.4</w:t>
      </w:r>
    </w:p>
    <w:p>
      <w:r>
        <w:t>L'Etat responsable de l'examen d'une demande de protection internationale en vertu du RD III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du RD III).</w:t>
      </w:r>
    </w:p>
    <w:p>
      <w:r>
        <w:rPr>
          <w:b/>
        </w:rPr>
        <w:t>E. 2.5</w:t>
      </w:r>
    </w:p>
    <w:p>
      <w:r>
        <w:t>En l'espèce, les investigations entreprises le 29 juillet 2024 par le SEM dans la base de données « Eurodac » ont démontré que le recourant, avant de solliciter l'octroi de l'asile en Suisse, avait déjà déposé, le 12 mars 2021, une demande d'asile en Belgique. Le 5 août 2024, soit dans le délai prescrit par l'art. 23 par. 2 al. 1 RD III, le SEM a ainsi soumis aux autorités belges compétentes une requête aux fins de reprise en charge de l'intéressé, en application de l'art. 18 par. 1 let. d RD III. En date du 9 août 2024, soit dans le délai fixé à l'art. 25 par. 1 RD III, les autorités belges ont expressément accepté de reprendre en charge l'intéressé en application de l'art. 18 par. 1 let. d RD III, confirmant implicitement que la demande de l'intéressé avait été rejetée.</w:t>
      </w:r>
    </w:p>
    <w:p>
      <w:r>
        <w:rPr>
          <w:b/>
        </w:rPr>
        <w:t>E. 2.6</w:t>
      </w:r>
    </w:p>
    <w:p>
      <w:r>
        <w:t>La Belgique a ainsi valablement reconnu sa compétence pour poursuivre la procédure d'asile du recourant. L'intéressé ne conteste pas en tant que telle la compétence de ce pays dans son recours. En revanche, il s'oppose à son transfert vers ce pays pour des motifs d'ordre personnel.</w:t>
      </w:r>
    </w:p>
    <w:p>
      <w:r>
        <w:rPr>
          <w:b/>
        </w:rPr>
        <w:t>E. 3</w:t>
      </w:r>
    </w:p>
    <w:p>
      <w:r>
        <w:t>Durant son entretien individuel « Dublin » du 5 août 2024, l'intéressé a exposé qu'il ne voulait pas retourner en Belgique eu égard aux mauvaises conditions d'hébergement, à l'absence de soins médicaux, au traitement critiquable de sa procédure d'asile et à la présence en Suisse de membres de sa famille. Dans son recours, il avance en substance des arguments de même nature pour s'opposer à son transfert.</w:t>
      </w:r>
    </w:p>
    <w:p>
      <w:r>
        <w:rPr>
          <w:b/>
        </w:rPr>
        <w:t>E. 3.1</w:t>
      </w:r>
    </w:p>
    <w:p>
      <w:r>
        <w:t>Cela étant, il convient en premier lieu d'examiner, en vertu de l'art. 3 par. 2 al. 2 du règlement Dublin III, s'il y a de sérieuses raisons de croire qu'il existe en Belgique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w:t>
      </w:r>
    </w:p>
    <w:p>
      <w:r>
        <w:rPr>
          <w:b/>
        </w:rPr>
        <w:t>E. 3.2</w:t>
      </w:r>
    </w:p>
    <w:p>
      <w:r>
        <w:t>A cet égard, il y a lieu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(arrêt du TAF D-4622/2023 du 1er septembre 2023 p. 7).</w:t>
      </w:r>
    </w:p>
    <w:p>
      <w:r>
        <w:rPr>
          <w:b/>
        </w:rPr>
        <w:t>E. 3.3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 du TAF F-4447/2022 du 11 octobre 2022 consid. 5.2). S'agissant de la Belgique, cette présomption n'est pas renversée (cf. en ce sens arrêts du TAF F-4485/2024 du 19 juillet 2024 p. 4-5 ; F-3864/2024 du 21 juin 2024 p. 4 et F-2563/2022 du 11 décembre 2023 consid. 8).</w:t>
      </w:r>
    </w:p>
    <w:p>
      <w:r>
        <w:rPr>
          <w:b/>
        </w:rPr>
        <w:t>E. 3.4</w:t>
      </w:r>
    </w:p>
    <w:p>
      <w:r>
        <w:t>Les arguments avancés par le recourant à l'appui de son recours ne sauraient suffire à remettre en cause cette présomption. Bien que des fluctuations au niveau du nombre de requérants d'asile pussent influer sur les conditions d'accueil des demandeurs d'asile dans les centres d'hébergement belges, le Tribunal ne dispose pas d'éléments tangibles suffisants lui permettant de retenir de graves carences dans ce domaine. A cet égard, les allégations du recourant selon lesquelles il aurait été personnellement privé d'accès à un logement adéquat et aux soins se limitent du reste à de simples affirmations. Une application de l'art. 3 par. 2 al. 2 RD III ne se justifie dès lors pas en ce qui concerne la Belgique.</w:t>
      </w:r>
    </w:p>
    <w:p>
      <w:r>
        <w:rPr>
          <w:b/>
        </w:rPr>
        <w:t>E. 4</w:t>
      </w:r>
    </w:p>
    <w:p>
      <w:r>
        <w:t>Aux termes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4.1</w:t>
      </w:r>
    </w:p>
    <w:p>
      <w:r>
        <w:t>Il convient tout d'abord de rappeler que le RD III ne confère pas aux demandeurs d'asile le droit de choisir l'Etat membre offrant, à leur avis, les meilleures conditions d'accueil comme Etat responsable de l'examen de leur demande d'asile (cf. ATAF 2010/45 consid. 8.3).</w:t>
      </w:r>
    </w:p>
    <w:p>
      <w:r>
        <w:rPr>
          <w:b/>
        </w:rPr>
        <w:t>E. 4.2</w:t>
      </w:r>
    </w:p>
    <w:p>
      <w:r>
        <w:t>S'agissant des conditions d'accueil et d'hébergement, le Tribunal ne dispose, comme déjà relevé ci-dessus, d'aucun élément tangible pour conclure que l'intéressé serait soumis à des traitements inhumains ou dégradants à son retour en Belgique dans le cadre d'une procédure Dublin. S'il a certes exposé dans son recours qu'il avait fait l'objet de racisme et de discriminations et qu'il avait dû quitter un jour le foyer où il séjournait pour se retrouver à la rue à Bruxelles, le recourant n'a pas démontré que lesdites conditions d'accueil revêtiraient un degré de pénibilité et de gravité tel au point de constituer un traitement contraire à l'art. 3 CEDH, respectivement à l'art. 3 CCT.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w:t>
      </w:r>
    </w:p>
    <w:p>
      <w:r>
        <w:rPr>
          <w:b/>
        </w:rPr>
        <w:t>E. 4.3</w:t>
      </w:r>
    </w:p>
    <w:p>
      <w:r>
        <w:t>Pour ce qui a trait à l'état de santé du recourant, il ne s'agit pas de déterminer si l'étranger bénéficiera, dans le pays de renvoi, respectivement de transfert,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de la CourEDH Paposhvili contre Belgique [Grande chambre] du 13 décembre 2016, requête no 41738/10 ; Savran c. Danemark du 7 décembre 2021, requête no 57467/15, par. 122 à 139 ; ATAF 2017 VI/7 consid. 6.2).</w:t>
      </w:r>
    </w:p>
    <w:p>
      <w:r>
        <w:rPr>
          <w:b/>
        </w:rPr>
        <w:t>E. 4.3.1</w:t>
      </w:r>
    </w:p>
    <w:p>
      <w:r>
        <w:t>Comme indiqué ci-avant, la Belgique est, en tout état de cause,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w:t>
      </w:r>
    </w:p>
    <w:p>
      <w:r>
        <w:rPr>
          <w:b/>
        </w:rPr>
        <w:t>E. 4.3.2</w:t>
      </w:r>
    </w:p>
    <w:p>
      <w:r>
        <w:t>En l'occurrence, le Tribunal considère qu'aucun élément au dossier ne permet d'inférer qu'en cas de transfert vers cet Etat, le recourant risquerait d'être exposé à un déclin grave, rapide et irréversible de son état de santé. En effet, force est de constater que les documents médicaux versés au dossier, les diagnostics posés et le traitement suivi (cf. consid. F et G supra), ne sont pas révélateurs de maladies d'une gravité ou d'une spécificité telle qu'elles ne pourraient pas être traitées en Belgique. En conséquence, il y a lieu de retenir que les problèmes de santé, sous traitement médical, dont le recourant est atteint - et dont le Tribunal ne cherche pas à en minimiser l'importance - ne sauraient faire obstacle à l'exécution de son transfert vers ce pays. Cela étant, il incombera aux autorités suisses chargées de l'exécution du transfert de transmettre à leurs homologues belges, en temps utile, les informations médicales pertinentes permettant une prise en charge médicale adéquate du recourant (art. 31 et 32 du RD III), celui-ci ayant donné son accord écrit à la transmission d'informations médicales.</w:t>
      </w:r>
    </w:p>
    <w:p>
      <w:r>
        <w:rPr>
          <w:b/>
        </w:rPr>
        <w:t>E. 4.4</w:t>
      </w:r>
    </w:p>
    <w:p>
      <w:r>
        <w:t>Pour s'opposer à son transfert, le recourant a également invoqué la présence en Suisse de son frère et de sa soeur, invoquant ainsi implicitement le droit de sa vie familiale (art. 8 CEDH).</w:t>
      </w:r>
    </w:p>
    <w:p>
      <w:r>
        <w:rPr>
          <w:b/>
        </w:rPr>
        <w:t>E. 4.4.1</w:t>
      </w:r>
    </w:p>
    <w:p>
      <w:r>
        <w:t>Pour ce qui a trait au droit au respect de la vie familiale consacré à l'art. 8 CEDH il y a lieu de retenir ce qui suit : Selon la jurisprudence, les relations familiales visées par cette disposition sont avant tout celles qui concernent la famille au sens étroit (famille nucléaire), soit celles qui existent entre époux ainsi qu'entre parents et enfants mineurs vivant en ménage commun (cf. ATF 147 I 268 consid. 1.2.3 ; 144 II 1 consid. 6.1). D'autres liens familiaux ou de parenté peuvent également être protégés, à l'instar de ceux dont il est question à l'art. 16 par. 1 RD III, lorsqu'il y a un rapport de dépendance particulier dépassant les relations familiales, respectivement les liens émotionnels, usuels (cf. ibid.), par exemple en raison d'un handicap ou d'une maladie grave (cf. ATF 145 I 227 consid. 3.1).</w:t>
      </w:r>
    </w:p>
    <w:p>
      <w:r>
        <w:rPr>
          <w:b/>
        </w:rPr>
        <w:t>E. 4.4.2</w:t>
      </w:r>
    </w:p>
    <w:p>
      <w:r>
        <w:t>En l'espèce, le recourant ne saurait tirer aucun avantage de cette disposition pour la présente cause. En effet, même si l'intéressé a affirmé dans son recours être en contact avec son frère et sa soeur et bénéficier de leur aide pour la prise en charge médicale, cette relation ne saurait constituer un rapport de dépendance particulier au sens de la jurisprudence précitée et le Tribunal n'en perçoit aucun.</w:t>
      </w:r>
    </w:p>
    <w:p>
      <w:r>
        <w:rPr>
          <w:b/>
        </w:rPr>
        <w:t>E. 4.4.3</w:t>
      </w:r>
    </w:p>
    <w:p>
      <w:r>
        <w:t>Dans ces conditions, force est de constater que l'on ne saurait remettre en cause la responsabilité de la Belgique s'agissant de la poursuite de la procédure d'asile du recourant sous l'angle des art. 16 par. 1 RD III et 8 CEDH.</w:t>
      </w:r>
    </w:p>
    <w:p>
      <w:r>
        <w:rPr>
          <w:b/>
        </w:rPr>
        <w:t>E. 5</w:t>
      </w:r>
    </w:p>
    <w:p>
      <w:r>
        <w:t>Par conséquent, le transfert de l'intéressé vers la Belgique n'est pas contraire aux obligations découlant de dispositions conventionnelles auxquelles la Suisse est liée, ni au droit national. C'est à bon droit que l'autorité inférieure - refusant d'admettre l'existence de raisons humanitaires au sens de l'art. 29a al. 3 OA 1 en combinaison avec l'art. 17 par. 1 du RD III - n'est pas entrée en matière sur la demande d'asile de l'intéressé, en application de l'art. 31a al. 1 let. b LAsi, et a prononcé son transfert de Suisse vers la Belgique, en application de l'art. 44 LAsi, aucune exception à la règle générale du renvoi n'étant réalisée (art. 32 OA 1). Au vu de ce qui précède, le recours doit être rejeté.</w:t>
      </w:r>
    </w:p>
    <w:p>
      <w:r>
        <w:rPr>
          <w:b/>
        </w:rPr>
        <w:t>E. 6.1</w:t>
      </w:r>
    </w:p>
    <w:p>
      <w:r>
        <w:t>Le recours s'avérant manifestement infondé, il est de plus rejeté dans une procédure à juge unique, avec l'approbation d'un second juge (art. 111 let. e LAsi). Il est dès lors renoncé à un échange d'écritures, le présent arrêt n'étant motivé que sommairement (cf. art. 111a al. 1 et 2 LAsi).</w:t>
      </w:r>
    </w:p>
    <w:p>
      <w:r>
        <w:rPr>
          <w:b/>
        </w:rPr>
        <w:t>E. 6.2</w:t>
      </w:r>
    </w:p>
    <w:p>
      <w:r>
        <w:t>Dans la mesure où il a été immédiatement statué sur le fond, la requête formulée dans le recours tendant à l'octroi de l'effet suspensif, de même que celle tendant à l'exemption du versement d'une avance de frais sont sans objet. Le prononcé immédiat du présent arrêt rend caduques les mesures superprovisionnelles ordonnées le 11 septembre 2024.</w:t>
      </w:r>
    </w:p>
    <w:p>
      <w:r>
        <w:rPr>
          <w:b/>
        </w:rPr>
        <w:t>E. 6.3</w:t>
      </w:r>
    </w:p>
    <w:p>
      <w:r>
        <w:t>Les conclusions du recours étant d'emblée vouées à l'échec, la demande d'assistance judiciaire totale est rejetée (art. 65 al. 1 PA et 102m al. 1 LAsi).</w:t>
      </w:r>
    </w:p>
    <w:p>
      <w:r>
        <w:rPr>
          <w:b/>
        </w:rPr>
        <w:t>E. 6.4</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Il n'est, pour le surplus, pas alloué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