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F-5643/2022 vom 22. August 2023</w:t>
      </w:r>
    </w:p>
    <w:p>
      <w:r>
        <w:t>Bundesverwaltungsgericht, 2023-08-22, FR</w:t>
      </w:r>
    </w:p>
    <w:p>
      <w:r>
        <w:rPr>
          <w:b/>
        </w:rPr>
        <w:t xml:space="preserve">Quelle: </w:t>
      </w:r>
      <w:r>
        <w:t>https://mcp.opencaselaw.ch/entscheid/bvger_F-5643_2022</w:t>
      </w:r>
    </w:p>
    <w:p>
      <w:r>
        <w:t>FR: TAF F-5643/2022 du 22 août 2023</w:t>
      </w:r>
    </w:p>
    <w:p>
      <w:r>
        <w:t>IT: TAF F-5643/2022 del 22 agosto 2023</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 4 janvier 2023 consid. 1.2.2 et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au sens de l'art. 48 al. 1 PA. Son recours respecte les exigences de forme et de délai fixées par la loi (art. 50 al. 1 et 52 al. 1 PA) et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Au préalable, le recourant s'est plaint que les courriers du SEM des 15 et 26 septembre 2022, contenant le préavis négatif de l'autorité inférieure et l'enjoignant à exercer son droit d'être entendu, ne lui avaient pas été notifiés. Il n'avait dès lors pu se déterminer sur ledit préavis avant que l'autorité inférieure ne rendît la décision querellée. Ce grief doit être examiné en premier lieu vu la nature formelle de cette garantie constitutionnelle dont la violation entraîne, en principe, l'annulation de la décision attaquée sans égard aux chances de succès du recours sur le fond (cf. ATF 142 II 218 consid. 2.8.1 et les références citées).</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3.2</w:t>
      </w:r>
    </w:p>
    <w:p>
      <w:r>
        <w:t>Selon une jurisprudence bien établie, la notification d'un acte administratif ou judiciaire obéit au principe de la réception. A moins qu'il existe des prescriptions de notification comme par exemple lorsque la loi exige un accusé de réception (pour un exemple : ATF 144 IV 57), il suffit que l'acte parvienne dans la sphère d'influence de son destinataire et que ce dernier, en organisant normalement ses affaires, soit à même d'en prendre connaissance pour admettre qu'il a été valablement notifié (cf. ATF 145 IV 252 consid. 1.3.2, 144 IV 57 consid. 2.3.2 et les références citées), étant rappelé que celui qui se sait partie à une procédure et qui doit dès lors s'attendre à recevoir des actes officiels - condition en principe réalisée pendant toute la durée d'un litige (cf. ATF 146 IV 30 consid. 1.1.2) - est tenu de relever son courrier ou, s'il s'absente de son domicile, de prendre des dispositions pour que celui-ci lui parvienne néanmoins, le cas échéant en désignant un représentant, faisant suivre son courrier ou informant les autorités de son absence (ATF 146 IV 30 consid. 1.1.2).</w:t>
      </w:r>
    </w:p>
    <w:p>
      <w:r>
        <w:rPr>
          <w:b/>
        </w:rPr>
        <w:t>E. 3.3</w:t>
      </w:r>
    </w:p>
    <w:p>
      <w:r>
        <w:t>En vertu de l'art. 12 PA, l'autorité constate les faits d'office et procède s'il y a lieu à l'administration de preuves. Conformément à la maxime inquisitoire, applicable en procédure administrative, c'est à l'autorité de première instance, respectivement de recours, qu'il incombe d'élucider l'état de fait de manière exacte et complète (art. 12 PA cf. ATAF 2015/10 consid. 3.2). Néanmoins, cette maxime ne dispense pas les parties de collaborer, principalement en fournissant sans retard les moyens de preuve nécessaires à l'établissement des faits (art. 13 PA en relation avec l'art. 90 LEI), d'autant moins lorsqu'il s'agit d'établir des faits que celles-ci sont mieux à même de connaître que l'autorité, notamment parce qu'ils ont trait à leur situation personnelle. Cette obligation de collaborer vaut en particulier dans les procédures que les administrés introduisent eux-mêmes et dans leur propre intérêt (cf. arrêt du TF 2C_933/2022 du 9 janvier 2023 consid. 5.3.2 et les références citées). Faute de concours à l'établissement des faits, le recourant doit supporter les conséquences de l'absence de preuves (cf. ATF 138 II 465 consid. 8.6.4).</w:t>
      </w:r>
    </w:p>
    <w:p>
      <w:r>
        <w:rPr>
          <w:b/>
        </w:rPr>
        <w:t>E. 3.4</w:t>
      </w:r>
    </w:p>
    <w:p>
      <w:r>
        <w:t>En l'espèce, il y a lieu de considérer que le SEM a pris toutes les mesures que l'on pouvait attendre de sa part pour s'assurer que les courriers avaient été envoyés à l'adresse exacte du recourant, à savoir communiquer le premier courrier, daté du 15 septembre 2022, à l'adresse en France indiquée par le recourant dans toutes ses correspondances dans le cadre de la procédure par-devant l'autorité inférieure, et envoyer un second courrier, daté du 26 septembre 2022, à l'adresse davantage complète mentionnée par l'intéressé dans son courriel du 21 septembre 2022. En l'état du dossier, on ne peut reprocher au SEM d'avoir notifié ses courriers à l'adresse désignée par le recourant dans toutes ses correspondances et non pas à sa nouvelle domiciliation, en Suisse. En effet, celle-ci était à cette époque inconnue de l'autorité inférieure, l'intéressé ne l'ayant pas informée de son arrivée sur le sol helvétique le 9 octobre 2002, dite information n'ayant été transmise à l'autorité inférieure que par le biais du SMIG le 2 novembre 2022 (cf. mémoire de recours pp. 5 et 7 et act. TAF 1 p. 27). Au vu de ce qui précède, il appartenait au recourant d'informer le SEM directement de son changement d'adresse, de sorte qu'il ne peut se plaindre des conséquences de son propre comportement. Partant, le second courrier du SEM a été valablement notifié au recourant, tout comme la décision querellée (également notifiée en France), de sorte que les droits de l'intéressé ont été respectés. Par ailleurs, dès lors que le recourant s'est exprimé à ce sujet pendant la procédure devant le Tribunal, il y a lieu de constater qu'un éventuel vice aurait été réparé en procédure de recours, le TAF ayant la même cognition que le SEM, de sorte qu'il n'y aurait pas lieu d'annuler la décision entreprise pour cette raison (cf. ATF 145 I 167 consid. 4.4).</w:t>
      </w:r>
    </w:p>
    <w:p>
      <w:r>
        <w:rPr>
          <w:b/>
        </w:rPr>
        <w:t>E. 4.1</w:t>
      </w:r>
    </w:p>
    <w:p>
      <w:r>
        <w:t>Les autorités chargées de l'exécution de la LEI (RS 142.20)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4.2</w:t>
      </w:r>
    </w:p>
    <w:p>
      <w:r>
        <w:t>En l'occurrence, le SPOP a soumis le dossier du recourant à l'approbation du SEM en conformité avec la législation et la jurisprudence (à ce sujet, cf. ATF 141 II 169 consid. 4.3.1, 4.3.2 et 6.1;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du SPOP émise le 7 septembre 2022 et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SEM, ch. 5.1.1.5).</w:t>
      </w:r>
    </w:p>
    <w:p>
      <w:r>
        <w:rPr>
          <w:b/>
        </w:rPr>
        <w:t>E. 6.4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 al. 3 LEI), le séjour effectué en vue d'une formation ou d'une formation continue est un séjour temporaire (cf. Directives SEM, ch. 5.1.1.1).</w:t>
      </w:r>
    </w:p>
    <w:p>
      <w:r>
        <w:rPr>
          <w:b/>
        </w:rPr>
        <w:t>E. 7.1</w:t>
      </w:r>
    </w:p>
    <w:p>
      <w:r>
        <w:t>Dans le cas d'espèce, l'autorité inférieure a remis en cause l'opportunité pour le recourant de venir faire un Master en droit auprès de l'UNINE dès lors que ce dernier était déjà titulaire de nombreuses formations, à savoir une Licence en droit général auprès de la Faculté de sciences juridiques de l'Université Kofi Annan en Guinée et un Master 1 en droit des entreprises au sein de la même université, obtenus respectivement en 2015 et 2016. En outre, l'intéressé a précisé dans son curriculum vitae avoir réalisé un Master 1 en droit des affaires à l'Université de Rennes, ainsi que de suivre des cours à distance d'anglais et de rédaction de contrats internationaux auprès de l'Université de Genève depuis 2021. Dès lors, l'autorité inférieure a estimé qu'il n'apparaissait pas absolument indispensable pour le recourant de venir étudier en Suisse et que le but poursuivi par ce dernier n'était pas clairement défini et semblait plutôt relever de la convenance personnelle. Par ailleurs, le SEM a relevé qu'il n'était pas démontré qu'il ne pourrait pas suivre le cursus souhaité dans son pays d'origine ou en France et qu'il s'agissait de donner la priorité aux étudiants désireux de venir en Suisse pour acquérir une première formation. En outre, l'autorité inférieure a invoqué la prise en compte de la politique migratoire menée par les autorités helvétiques et l'évolution sociodémographique de la Suisse pour appuyer son refus.</w:t>
      </w:r>
    </w:p>
    <w:p>
      <w:r>
        <w:rPr>
          <w:b/>
        </w:rPr>
        <w:t>E. 7.2</w:t>
      </w:r>
    </w:p>
    <w:p>
      <w:r>
        <w:t>L'intéressé a assuré qu'il était notoire, qu'en France, un Master 1 devait être complété par une formation de niveau Master 2 afin de se spécialiser et de permettre une intégration professionnelle réussie, alléguant par ailleurs n'avoir pu suivre un tel cursus en France faute de place dans l'université proposant une spécialisation en droit de la propriété intellectuelle, parcours droit du numérique. Aussi, l'intéressé a relevé que le cursus souhaité lui permettrait d'être actif dans le domaine des transferts de technologie afin de participer à l'essor économique de son pays d'origine. Il a dès lors estimé que le SEM avait basé sa décision sur un état de faits incomplet.</w:t>
      </w:r>
    </w:p>
    <w:p>
      <w:r>
        <w:rPr>
          <w:b/>
        </w:rPr>
        <w:t>E. 7.3</w:t>
      </w:r>
    </w:p>
    <w:p>
      <w:r>
        <w:t>Le Tribunal relève pour sa part que le recourant semble remplir les conditions énoncées à l'art. 27 al. 1 LEI. En effet, il ressort du dossier que le prénommé est régulièrement inscrit à l'Université de Neuchâtel (cf. act. SEM 1 p. 42). Par ailleurs, aucun élément ne permet d'inférer que cet étudiant ne disposerait pas d'un logement approprié ou de moyens financiers suffisants (cf. act. SEM 1 pp. 26, 48, 58 et 59). Enfin, le recourant paraît disposer du niveau de formation et des qualifications personnelles requises pour suivre sa nouvelle formation au sein de l'UNINE.</w:t>
      </w:r>
    </w:p>
    <w:p>
      <w:r>
        <w:rPr>
          <w:b/>
        </w:rPr>
        <w:t>E. 8.1</w:t>
      </w:r>
    </w:p>
    <w:p>
      <w:r>
        <w:t>Nonobstant ce qui précède, il y a lieu de rappeler que l'art. 27 LEI est une disposition rédigée en la forme potestative ("Kann-Vorschrift") et qu'en conséquence, l'intéressé ne disposerait d'aucun droit à la délivrance d'une autorisation de séjour, à moins qu'il ne puisse se prévaloir d'une disposition particulière du droit fédéral ou d'un traité lui conférant un tel droit, ce qui n'est pas le cas en l'espèce.</w:t>
      </w:r>
    </w:p>
    <w:p>
      <w:r>
        <w:rPr>
          <w:b/>
        </w:rPr>
        <w:t>E. 8.2</w:t>
      </w:r>
    </w:p>
    <w:p>
      <w:r>
        <w:t>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F-2118/2021 du 16 mai 2023 consid. 5.2).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arrêt du TAF F-4847/2022 du 23 mai 2023 consid. 8.3 et la référence citée).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n'existe de motif objectif justifiant l'utilisation d'un tel critère (ATF 147 I 89 consid. 2.9). Ce précédent a donc pour conséquence de restreindre quelque peu la marge d'appréciation très large qui était reconnue jusqu'alors au SEM (cf. arrêt du TAF F-5279/2021 du 11 octobre 2022 consid. 7.2).</w:t>
      </w:r>
    </w:p>
    <w:p>
      <w:r>
        <w:rPr>
          <w:b/>
        </w:rPr>
        <w:t>E. 8.3</w:t>
      </w:r>
    </w:p>
    <w:p>
      <w:r>
        <w:t>Il convient dès lors d'examiner, en tenant compte du large pouvoir d'appréciation dont disposent les autorités compétentes en la matière, si c'est à juste titre que le SEM a refusé d'approuver la délivrance d'une autorisation de séjour pour études en faveur du recourant, proposée par le SPOP. Dans ce cadre, procédant à une pondération globale de tous les éléments en présence, le Tribunal retiendra ce qui suit :</w:t>
      </w:r>
    </w:p>
    <w:p>
      <w:r>
        <w:rPr>
          <w:b/>
        </w:rPr>
        <w:t>E. 8.3.1</w:t>
      </w:r>
    </w:p>
    <w:p>
      <w:r>
        <w:t>Plaide en faveur du recourant le fait qu'il souhaite obtenir en Suisse un Master de droit, orientation propriété intellectuelle et innovation, auprès de l'UNINE, afin de compléter sa formation initialement débutée en Guinée et en France, lui permettant par la suite de mettre ses connaissances au profit de son pays d'origine. En outre, au regard de la formation universitaire en droit que l'intéressé a suivie en Guinée durant les années 2012 à 2016, ainsi que le Master 1 en droit des affaires effectué à l'Université de Rennes entre 2020 et 2021, son parcours estudiantin présente une certaine cohérence.</w:t>
      </w:r>
    </w:p>
    <w:p>
      <w:r>
        <w:rPr>
          <w:b/>
        </w:rPr>
        <w:t>E. 8.3.2</w:t>
      </w:r>
    </w:p>
    <w:p>
      <w:r>
        <w:t>Sur un plan plus négatif, le Tribunal retiendra que l'intéressé se trouve déjà au bénéfice de deux formations supérieures achevées en 2016 auprès de l'Université Kofi Annan en Guinée, soit une licence en droit, option droit des affaires, et un Master 1, également en droit des affaires. Il appert ainsi que le recourant ne viendrait pas en Suisse pour y acquérir une première formation ou une formation complète, mais que celle-ci serait au moins partiellement une répétition de son Master de droit (cf. plan d'études https://www.unine.ch/droit/home/formations/master/innovation-intellectual-property.html , consulté en juillet 2023). Dès lors, même si la formation envisagée permet au recourant d'accéder à de nouvelles connaissances plus spécifiques dans le domaine de la propriété intellectuelle et de l'innovation, la poursuite de ses études en Suisse n'apparaît pas indispensable. S'il est vrai que la question de la nécessité du perfectionnement souhaité ne fait pas partie des conditions posées à l'art. 27 LEI pour l'obtention, voire la prolongation de l'autorisation de séjour pour études, cette question doit néanmoins être examinée sous l'angle du large pouvoir d'appréciation conféré à l'autorité dans le cadre de l'art. 96 LEI (cf. supra, consid. 8.2). Par ailleurs,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arrêt du TAF F-4847/2022 du 23 mai 2023 consid. 8.4.1 et les références citées). En outre, le recourant n'a pas établi à satisfaction de droit que les études de Master envisagées ne pouvaient pas être suivies ailleurs qu'en Suisse (cf. notamment arrêt du TAF F-4847/2022 du 23 mai 2023 consid. 8.4.2). En effet, il existe d'autres universités, instituts ou écoles qui proposent des formations en matière de propriété intellectuelle et d'innovation, dont l'Université de Kofi Annan en Guinée, laquelle offre un Master professionnel en droit privé avec notamment des cours de propriété intellectuelle (voir aussi, à titre d'exemples, l'Université de Paris-Saclay offrant un Master 2 en droit de l'innovation et propriété industrielle et l'Université de Strasbourg disposant d'un Master 2 en stratégie de la propriété intellectuelle et innovation [&lt;https://mon-portail.gtsco-kag.org/public/formation/40&gt; ; &lt;https://www.universite-paris-saclay.fr/formation/master/droit-de-la-propriete-intellectuelle-et-du-numerique/m2-droit-de-linnovation-et-propriete-industrielle&gt; et &lt;https://ecogestion.unistra.fr/formations/formation-continue/masters-2/strategie-de-la-propriete-intellectuelle-et-innovation-m2&gt;, sites consultés en juillet 2023]). Finalement, le Tribunal retient que l'intéressé n'a pas respecté les conditions requises par la législation sur les étrangers, puisque, outre le défaut d'un visa l'autorisant à entrer en Suisse, il était démuni d'une autorisation de séjour l'autorisant à entamer des études, lorsqu'il est venu s'installer en Suisse le 9 octobre 2022 afin de démarrer son Master auprès de l'UNINE. Ainsi, le recourant a mis délibérément les autorités devant le fait accompli. Or, cette manière de procéder ne saurait être cautionnée par les autorités fédérales compétentes, sous peine de vider en grande partie de leur substance les dispositions légales régissant les conditions d'admission en Suisse. Le comportement de l'intéressé est d'autant moins acceptable que celui-ci était censé connaître lesdites prescriptions, puisqu'il avait entrepris les démarches depuis son pays d'origine pour obtenir un visa de longue durée aux fins d'études en France, puis avait ensuite répété les mêmes démarches, dans le cadre de la présente procédure, depuis la France, pour venir étudier en Suisse. La certitude que sa demande d'autorisation de séjour serait acceptée, bien qu'il eût obtenu l'aval du SPOP ainsi que du SMIG, ce dernier tolérant sa présence dans le canton de Neuchâtel (cf. supra, FAITS A.b et C.b), n'excuse en rien les manquements observés, d'autant plus que l'autorité cantonale vaudoise avait précisé, dans son courrier du 7 septembre 2022, que son préavis positif était conditionné à l'approbation du SEM. De plus, son attitude a empêché l'autorité inférieure, les 15 et 26 septembre 2022, de parvenir à lui communiquer qu'elle entendait refuser de lui accorder ladite autorisation (cf. supra, consid. 3.4). Ainsi, ce comportement pèse de façon significative en défaveur du recourant (cf. arrêt du TAF F-3653/2021 du 16 septembre 2022 consid. 9.6).</w:t>
      </w:r>
    </w:p>
    <w:p>
      <w:r>
        <w:rPr>
          <w:b/>
        </w:rPr>
        <w:t>E. 8.3.3</w:t>
      </w:r>
    </w:p>
    <w:p>
      <w:r>
        <w:t>Sur le vu de l'ensemble de ce qui précède, en procédant à une pesée globale des intérêts et nonobstant l'utilité que pourrait constituer l'achèvement de la formation projetée en Suisse et les aspirations légitimes de l'intéressé à vouloir acquérir de nouvelles connaissances, il n'apparaît pas que des raisons spécifiques et suffisantes soient de nature à justifier l'approbation à l'octroi de l'autorisation de séjour sollicitée, compte tenu en particulier de la politique d'admission restrictive que les autorités suisses sont amenées à adopter en la matière (cf. arrêt du TAF F-4847/2022 précité consid. 8.5).</w:t>
      </w:r>
    </w:p>
    <w:p>
      <w:r>
        <w:rPr>
          <w:b/>
        </w:rPr>
        <w:t>E. 9</w:t>
      </w:r>
    </w:p>
    <w:p>
      <w:r>
        <w:t>S'agissant de la demande d'audition formulée par le mandataire de l'intéressé dans son recours du 7 décembre 2022, le Tribunal se détermine comme suit.</w:t>
      </w:r>
    </w:p>
    <w:p>
      <w:r>
        <w:rPr>
          <w:b/>
        </w:rPr>
        <w:t>E. 9.1</w:t>
      </w:r>
    </w:p>
    <w:p>
      <w:r>
        <w:t>En application de l'art. 33 al. 1 PA, l'autorité admet les moyens de preuve offerts par la partie s'ils paraissent propres à élucider les faits. A cela s'ajoute que l'autorité est fondée à mettre un terme à l'instruction lorsque les preuves administrées lui ont permis de former sa conviction et que, procédant d'une manière correcte à une appréciation anticipée des preuves lui sont encore proposées, elle a la certitude qu'elles pourraient l'amener à modifier son opinion (cf. ATF 146 III 73 consid. 5.2.2 et les références citées). A noter que l'audition de témoins n'est prévue qu'à titre subsidiaire en procédure administrative (art. 14 al. 1 PA) et qu'il n'est ainsi procédé à l'audition personnelle de tiers que si cela paraît indispensable à l'établissement des faits. (cf. ATF 137 III 208 consid. 2.2 ; arrêt du TF 1C_228/2018 du 18 juillet 2019 consid. 5.2).</w:t>
      </w:r>
    </w:p>
    <w:p>
      <w:r>
        <w:rPr>
          <w:b/>
        </w:rPr>
        <w:t>E. 9.2</w:t>
      </w:r>
    </w:p>
    <w:p>
      <w:r>
        <w:t>En l'espèce, le Tribunal considère que les faits de la cause sont suffisamment établis par les pièces du dossier, de sorte qu'il n'est pas nécessaire d'ordonner l'audition requise. Il y est par conséquent renoncée.</w:t>
      </w:r>
    </w:p>
    <w:p>
      <w:r>
        <w:rPr>
          <w:b/>
        </w:rPr>
        <w:t>E. 10</w:t>
      </w:r>
    </w:p>
    <w:p>
      <w:r>
        <w:t>Il ressort de ce qui précède que, par sa décision du 7 novembre 2022, l'autorité inférieure n'a ni violé le droit fédéral, ni constaté des faits pertinents de manière inexacte ou incomplète. En outre, cette décision n'est pas inopportune (art. 49 PA). En conséquence, le recours est rejeté.</w:t>
      </w:r>
    </w:p>
    <w:p>
      <w:r>
        <w:rPr>
          <w:b/>
        </w:rPr>
        <w:t>E. 10.1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Dès lors qu'il a succombé, le recourant n'a, par ailleurs, pas droit à des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