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F-5642/2023 vom 15. Januar 2025</w:t>
      </w:r>
    </w:p>
    <w:p>
      <w:r>
        <w:t>Bundesverwaltungsgericht, 2025-01-15, DE</w:t>
      </w:r>
    </w:p>
    <w:p>
      <w:r>
        <w:rPr>
          <w:b/>
        </w:rPr>
        <w:t xml:space="preserve">Quelle: </w:t>
      </w:r>
      <w:r>
        <w:t>https://mcp.opencaselaw.ch/entscheid/bvger_F-5642_2023</w:t>
      </w:r>
    </w:p>
    <w:p>
      <w:r>
        <w:t>FR: TAF F-5642/2023 du 15 janvier 2025</w:t>
      </w:r>
    </w:p>
    <w:p>
      <w:r>
        <w:t>IT: TAF F-5642/2023 del 15 gennaio 2025</w:t>
      </w:r>
    </w:p>
    <w:p>
      <w:pPr>
        <w:pStyle w:val="Heading2"/>
      </w:pPr>
      <w:r>
        <w:t>Regeste</w:t>
      </w:r>
    </w:p>
    <w:p>
      <w:r>
        <w:t>Schengen-Visum</w:t>
      </w:r>
    </w:p>
    <w:p>
      <w:pPr>
        <w:pStyle w:val="Heading2"/>
      </w:pPr>
      <w:r>
        <w:t>Erwägungen</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inzwischen ab- gelaufen ist, kann – nicht zuletzt angesichts der Einreichung des Rechts- mittels – auf ein fortbestehendes Rechtsschutzinteresse geschlossen wer- den. Der Beschwerdeführer ist demnach zur Beschwerde legitimiert (vgl. Art. 48 Abs. 1 VwVG). Auf die frist- und formgerecht eingereichte Be- schwerde ist einzutreten (vgl. Art. 50 Abs. 1 und 52 Abs. 1 VwVG).</w:t>
      </w:r>
    </w:p>
    <w:p>
      <w:r>
        <w:rPr>
          <w:b/>
        </w:rPr>
        <w:t>E. 1.4</w:t>
      </w:r>
    </w:p>
    <w:p>
      <w:r>
        <w:t>In der vorliegenden Angelegenheit entscheidet das Bundesverwal- tungsgericht endgültig (Art. 83 Bst. c Ziff. 1 BGG).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w:t>
      </w:r>
    </w:p>
    <w:p>
      <w:r>
        <w:t>F-5642/2023 Seite 4 gutheissen oder abweisen. Massgebend ist grundsätzlich die Sachlage im Zeitpunkt seines Entscheids (BVGE 2020 VII/4 E. 2.2 m.H.).</w:t>
      </w:r>
    </w:p>
    <w:p>
      <w:r>
        <w:rPr>
          <w:b/>
        </w:rPr>
        <w:t>E. 3.1</w:t>
      </w:r>
    </w:p>
    <w:p>
      <w:r>
        <w:t>Dem angefochtenen Entscheid liegt das Gesuch von zwei syrischen Staatsangehörigen um Erteilung von Visa zu Besuchszwecken für die Schweiz zugrunde. Da sie sich als sogenannte Drittstaatsangehörige nicht aus eigenem und vorliegend auch nicht aus abgeleitetem Recht auf die EU/EFTA-Personenfreizügigkeitsabkommen berufen können und die be- absichtigte Aufenthaltsdauer 90 Tage innerhalb eines Zeitraums von 180 Tagen nicht überschreitet, fällt die vorliegende Streitsache in den persönli- chen und sachlichen Anwendungsbereich der Schengen-Assoziierungsab- kommen (aufgeführt im Anhang I Ziff. 1 des AIG [SR 142.20]), mit denen die Schweiz den Schengen-Besitzstand sowie die dazugehörigen gemein- schaftsrechtlichen Rechtsakte (nachfolgend: Schengen-Recht) übernom- men hat. Das AIG und seine Ausführungsbestimmungen, in casu nament- lich die Verordnung vom 15. August 2018 über die Einreise und die Visu- merteilung (VEV, SR 142.204), gelangen nur soweit zur Anwendung, als die Schengen-Assoziierungsabkommen keine abweichenden Bestimmun- 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 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Visumpflicht befreit sind (kodifizierter Text) (nachfolgend: Verordnung [EU] 2018/1806, ABl. L 303/39 vom 28.11.2018). In ihrem An- wendungsbereich regeln sie umfassend die Visumpflicht, die Visum- vergabe und die Einreise in das Hoheitsgebiet der durch das Schengen- Recht gebundenen Staaten (nachfolgend: Mitgliedstaaten).</w:t>
      </w:r>
    </w:p>
    <w:p>
      <w:r>
        <w:t>F-5642/2023 Seite 5</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beschrän- ken ([Schengen-]Visum mit räumlich beschränkter Gültigkeit; nachfolgend: VrG-Visum) (Art. 2 Bst. d Ziff. 2 VEV). Die Visa für längerfristige Aufenthalte sind nationale Visa (Art. 2 Bst. f VEV). Sie unterstehen ausschliesslich dem Landesrecht. Ob eine drittstaatsangehörige Person für einen kurzfristigen Aufenthalt der Visumpflicht untersteht, bestimmt sich grundsätzlich nach der Verordnung (EU) 2018/1806 (Art. 8 Abs. 1 und 3 VEV), wobei das Ver- fahren und die Voraussetzungen der Visumerteilung vom Visakodex gere- gelt werden (Art. 12 Abs. 1 VEV). Gemäss Art. 21 Abs. 1 VK ist ein (formell zulässiges) Visumgesuch daraufhin zu überprüfen, ob die allgemeinen Ein- reisevoraussetzungen des Art. 6 Abs. 1 Bst. a, c, d und e SGK erfüllt sind (zur Bezugnahme des Art. 21 Abs. 1 VK auf Art. 5 Abs. 1 Bst. a, c, d und e SGK vgl. Art. 44 SGK i.V.m. der Entsprechungstabelle im Anhang X). Der restliche Inhalt des Art. 21 VK differenziert und konkretisiert diese Prüfung, wobei besonders wichtige Aspekte eine eingehende Regelung erfahren.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Allerdings verfügen die Behörden des Ziel- staats bei der Prüfung der Ablehnungsgründe über einen weiten Ermes- sensspielraum.</w:t>
      </w:r>
    </w:p>
    <w:p>
      <w:r>
        <w:rPr>
          <w:b/>
        </w:rPr>
        <w:t>E. 4.4</w:t>
      </w:r>
    </w:p>
    <w:p>
      <w:r>
        <w:t>Ist das Visum zu verweigern, weil ein oder mehrere Ablehnungsgründe gegeben sind, kann ausnahmsweise ein VrG-Visum nach Art. 25 VK erteilt</w:t>
      </w:r>
    </w:p>
    <w:p>
      <w:r>
        <w:t>F-5642/2023 Seite 6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5.1</w:t>
      </w:r>
    </w:p>
    <w:p>
      <w:r>
        <w:t>Syrische Staatsangehörige in der Situation der Gesuchstellenden un- terstehen der Visumpflicht (Art. 3 Abs. 1 der Verordnung (EU) 2018/1806 i.V.m. deren Anhang I Ziff. 1). Die Erteilung von Visa wurde ihnen auf Ein- sprache hin verweigert, weil keine hinreichenden Gründe für eine fristge- rechte und anstandslose Wiederausreise bestünden. Damit wurde auf den Verweigerungsgrund des Art. 32 Abs. 1 Bst. b VK Bezug genommen, dem- gemäss das Visum der gesuchstellenden Person zu verweigern ist, «wenn begründete Zweifel (…) an der Glaubwürdigkeit (ihrer) Aussagen oder der von (ihr) bekundeten Absicht bestehen, das Hoheitsgebiet der Mitglied- staaten vor Ablauf der Gültigkeit des beantragten Visums zu verlassen.»</w:t>
      </w:r>
    </w:p>
    <w:p>
      <w:r>
        <w:rPr>
          <w:b/>
        </w:rPr>
        <w:t>E. 5.2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beziehungsweise Regionen mit politisch, sozial oder wirtschaftlich ungünstigen Verhältnissen rechtfertigt sich eine strenge Praxis, da die persönliche Interessenlage in solchen Fällen erfahrungsge- mäss nicht mit dem Ziel und Zweck einer zeitlich befristeten Einreisebewil- ligung im Einklang steht. Der zuständigen Behörde kommt dabei ein erheb- licher Beurteilungsspielraum zu (vgl. BVGE 2014/1 E. 6.1 m.H.; ferner Ur- teile des BVGer F-5322/2022 vom 9. Juni 2023; F-1826/2022 vom 24. Mai 2023 E. 6.1; F-1086/2020 vom 23. Februar 2021 E. 4.1; F-2881/2018 vom 24. Januar 2019 E. 6; vgl. auch Urteil Koushkaki Rn. 56–63).</w:t>
      </w:r>
    </w:p>
    <w:p>
      <w:r>
        <w:rPr>
          <w:b/>
        </w:rPr>
        <w:t>E. 5.3</w:t>
      </w:r>
    </w:p>
    <w:p>
      <w:r>
        <w:t>In die Risikoanalyse sind neben den allgemeinen Verhältnissen im Her- kunftsland der gesuchstellenden Person alle relevanten Gesichtspunkte des konkreten Einzelfalles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w:t>
      </w:r>
    </w:p>
    <w:p>
      <w:r>
        <w:t>F-5642/2023 Seite 7 anzulegen, je ungünstiger sich die allgemeine Situation im Herkunftsland der gesuchstellenden Person darstellt. Zu den relevanten konkreten Le- bensumständen gehören insbesondere die persönlichen, familiären, beruf- lichen und wirtschaftlichen Verhältnisse der gesuchstellenden Person (BVGE 2014/1 E. 6.3.1). So kann eine besondere berufliche, gesellschaft- liche oder familiäre Verantwortung im Herkunftsland beziehungsweise eine stabile, die Existenz sichernde wirtschaftliche Situation die Prognose einer anstandslosen Wiederausreise vor Ablauf der Visumdauer begünstigen. Umgekehrt muss bei Personen, die in ihrer Heimat keine besonderen Ver- pflichtungen haben oder die sich in wirtschaftlich ungünstigen Verhältnis- sen befinden, das Risiko eines ausländerrechtlich nicht regelkonformen Verhaltens nach einer bewilligten Einreise als vergleichsweise hoch einge- schätzt werden (BVGE 2014/1 E. 6.3.1; 2009/27 E. 8). Zudem kann ein im Zielland Schweiz bestehendes familiäres oder soziales Beziehungsnetz den Entscheid, dorthin auszuwandern, erleichtern – insbesondere, wenn es gleichzeitig im Aufenthaltsstaat an einem entsprechenden Netz fehlt (vgl. BVGE 2014/1 E. 6.2.2; Urteil des BVGer F-2974/2023 vom 29. Feb- ruar 2024 E. 8.1).</w:t>
      </w:r>
    </w:p>
    <w:p>
      <w:r>
        <w:rPr>
          <w:b/>
        </w:rPr>
        <w:t>E. 6.1</w:t>
      </w:r>
    </w:p>
    <w:p>
      <w:r>
        <w:t>Seit 2011 herrscht in Syrien ein bewaffneter Konflikt. Am 27. November 2024 haben verschiedene syrische Rebellengruppierungen im Nordwesten des Landes eine Grossoffensive lanciert und sukzessive Gebiete unter ihre Kontrolle gebracht. Sie haben die Kontrolle über die Hauptstadt Damaskus übernommen und die Regierung Assad gestürzt. Es kommt seither zu Schiessereien, Strassenblockaden und Plünderungen. Die Lage ist sehr volatil und die weitere Entwicklung ungewiss (vgl. https://www.eda.ad- min.ch/eda/de/home/vertretungen-und-reisehinweise/syrien/reisehin- weise-fuersyrien.html#, abgerufen am 07.01.2025). Syrien gehört gemäss dem Human Development Index (HDI), welcher die sozioökonomische Ent- wicklung eines Landes misst, mit einem HDI von 0.557 zu den mittel ent- wickelten Ländern und belegt lediglich Platz 157 von 193 gelisteten Län- dern (vgl. https://hdr.undp.org/data-center/specific-country-data#/count- ries/SYR, abgerufen am 07.01.2025).</w:t>
      </w:r>
    </w:p>
    <w:p>
      <w:r>
        <w:rPr>
          <w:b/>
        </w:rPr>
        <w:t>E. 6.2</w:t>
      </w:r>
    </w:p>
    <w:p>
      <w:r>
        <w:t>Vor diesem Hintergrund ist nicht zu beanstanden, dass die Vorinstanz das allgemeine Risiko einer nicht fristgerechten Wiederausreise von Besu- chern aus Syrien grundsätzlich als hoch einschätzt. In Bezug auf die kon- kreten Lebensumstände der gesuchstellenden Personen rechtfertigt sich daher ein strenger Massstab (vgl. E. 5.3).</w:t>
      </w:r>
    </w:p>
    <w:p>
      <w:r>
        <w:t>F-5642/2023 Seite 8</w:t>
      </w:r>
    </w:p>
    <w:p>
      <w:r>
        <w:rPr>
          <w:b/>
        </w:rPr>
        <w:t>E. 7.1</w:t>
      </w:r>
    </w:p>
    <w:p>
      <w:r>
        <w:t>Die Gesuchstellenden möchten ihren in der Schweiz lebenden Sohn (den Beschwerdeführer) besuchen.</w:t>
      </w:r>
    </w:p>
    <w:p>
      <w:r>
        <w:rPr>
          <w:b/>
        </w:rPr>
        <w:t>E. 7.2</w:t>
      </w:r>
    </w:p>
    <w:p>
      <w:r>
        <w:t>In Bezug auf die familiäre Situation wird geltend gemacht, dass die Ge- suchstellenden ihr Beziehungsnetz und ihr soziales Umfeld in Syrien hät- ten. Besondere familiäre Verantwortungen werden weder geltend gemacht noch sind solche erkennbar. Aus den Akten geht hervor, dass drei erwach- sene Kinder der Gesuchstellenden bereits in der Schweiz ein Asylgesuch gestellt haben und seitdem hier leben (vgl. Begleitschreiben vom 23. März 2023). Eines davon ist der Beschwerdeführer. Durch ihre hier lebende Fa- milie verfügen die Gesuchstellenden in der Schweiz über ein familiäres Be- ziehungsnetz, was das Emigrationsrisiko insgesamt erhöht (vgl. E. 5.3).</w:t>
      </w:r>
    </w:p>
    <w:p>
      <w:r>
        <w:rPr>
          <w:b/>
        </w:rPr>
        <w:t>E. 7.3</w:t>
      </w:r>
    </w:p>
    <w:p>
      <w:r>
        <w:t>Hinsichtlich der wirtschaftlichen und beruflichen Verhältnisse wird gel- tend gemacht, dass die Gesuchstellenden einen landwirtschaftlichen Be- trieb sowie Ländereien und Grundstücke besitzen würden (vgl. Einsprache vom 14. Juni 2023 und Beschwerde vom 14. Oktober 2023). Sie seien für Einkäufe, Bestellungen und Kontakte zu anderen Betrieben und Ämtern verantwortlich. Zudem seien sie für ihre Angestellten zuständig und müss- ten auch Löhne auszahlen (vgl. Schreiben vom 11. August 2023). Trotz ausdrücklichem Hinweis der Vorinstanz in der angefochtenen Verfügung hat der Beschwerdeführer die berufliche Tätigkeit der Gesuchstellenden bis heute nicht belegt. Den Akten ist lediglich eine Baugenehmigung aus dem Jahr 2016 zu entnehmen, die allerdings nicht geeignet ist die wirt- schaftliche und berufliche Situation der Gesuchstellenden auszuleuchten. Deren geltend gemachte wirtschaftlich gute Situation bleibt daher gänzlich unbelegt. Daran ändern auch die Vorbringen des Gesuchstellers nichts, dass die meisten Menschen ihr Geld zu Hause aufbewahren würden und dass die Reise zum Grundbuchamt in Syrien beschwerlich sei. Grundsätz- lich ist festzuhalten, dass die Beweislast für die Absicht, das Hoheitsgebiet der Schengen-Mitgliedstaaten vor Ablauf des beantragten Visums zu ver- lassen, bei den gesuchstellenden Personen liegt (vgl. in diesem Sinne Art. 14 Abs. 1 Bst. d VK; Urteil Koushkaki Rn. 71-72; BVGE 2014/1 E. 4.4 und E. 6). Mit den Ausführungen zu ihrer heimatlichen Situation gelingt es ihnen nicht, die entsprechende Absicht rechtsgenügend darzutun.</w:t>
      </w:r>
    </w:p>
    <w:p>
      <w:r>
        <w:rPr>
          <w:b/>
        </w:rPr>
        <w:t>E. 7.4</w:t>
      </w:r>
    </w:p>
    <w:p>
      <w:r>
        <w:t>In Bezug auf die Zusicherungen des gastgebenden Beschwerdeführers und weiterer Drittpersonen ist anzumerken, dass diese mangels rechtlicher und faktischer Durchsetzbarkeit nicht für ein bestimmtes Tun oder</w:t>
      </w:r>
    </w:p>
    <w:p>
      <w:r>
        <w:t>F-5642/2023 Seite 9 Unterlassen der Gesuchstellenden einstehen können (vgl. BVGE 2014/1 E. 6.3.7).</w:t>
      </w:r>
    </w:p>
    <w:p>
      <w:r>
        <w:rPr>
          <w:b/>
        </w:rPr>
        <w:t>E. 7.5</w:t>
      </w:r>
    </w:p>
    <w:p>
      <w:r>
        <w:t>Nach dem Gesagten ist bei objektiver Betrachtung das Risiko eines ausländerrechtlich nicht regelkonformen Verhaltens nach einer bewilligten Einreise der Gesuchstellenden zu Besuchszwecken als hoch einzuschät- zen. Die Vorinstanz durfte rechtsfehlerfrei davon ausgehen, dass vor dem Hintergrund der allgemeinen Lage in Syrien die persönlichen Lebensum- stände der Gesuchstellenden keine ausreichende Gewähr für eine fristge- rechte und anstandslose Wiederausreise nach einem Besuchsaufenthalt in der Schweiz bieten. Mit der fehlenden Gewähr für eine anstandslose Wiederausreise ist eine zwingende Voraussetzung für die Erteilung eines Visums nicht erfüllt.</w:t>
      </w:r>
    </w:p>
    <w:p>
      <w:r>
        <w:rPr>
          <w:b/>
        </w:rPr>
        <w:t>E. 7.6</w:t>
      </w:r>
    </w:p>
    <w:p>
      <w:r>
        <w:t>Gründe für die Ausstellung eines VrG-Visums nach Art. 25 VK wurden von den Beteiligten zu Recht nicht geltend gemacht und solche sind auch nicht ersichtlich.</w:t>
      </w:r>
    </w:p>
    <w:p>
      <w:r>
        <w:rPr>
          <w:b/>
        </w:rPr>
        <w:t>E. 8</w:t>
      </w:r>
    </w:p>
    <w:p>
      <w:r>
        <w:t>Aus den vorstehenden Erwägungen folgt, dass die angefochtene Verfü- gung im Lichte von Art. 49 VwVG nicht zu beanstanden ist. Die Be- schwerde ist daher abzuweisen.</w:t>
      </w:r>
    </w:p>
    <w:p>
      <w:r>
        <w:rPr>
          <w:b/>
        </w:rPr>
        <w:t>E. 9</w:t>
      </w:r>
    </w:p>
    <w:p>
      <w:r>
        <w:t>Entsprechend dem Ausgang des Verfahrens wird der unterliegende Be- schwerdeführer kostenpflichtig (Art. 63 Abs. 1 VwVG i.V.m. Art. 1 ff. des Reglements vom 21. Februar 2008 über die Kosten und Entschädigungen vor dem Bundesverwaltungsgericht [VGKE, SR 173.320.2]). (Dispositiv nächste Seite)</w:t>
      </w:r>
    </w:p>
    <w:p>
      <w:r>
        <w:t>F-5642/2023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