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F-5632/2023 vom 11. Oktober 2023</w:t>
      </w:r>
    </w:p>
    <w:p>
      <w:r>
        <w:t>Bundesverwaltungsgericht, 2023-10-11, DE</w:t>
      </w:r>
    </w:p>
    <w:p>
      <w:r>
        <w:rPr>
          <w:b/>
        </w:rPr>
        <w:t xml:space="preserve">Quelle: </w:t>
      </w:r>
      <w:r>
        <w:t>https://mcp.opencaselaw.ch/entscheid/bvger_F-5632_2023_d20231011</w:t>
      </w:r>
    </w:p>
    <w:p>
      <w:r>
        <w:t>FR: TAF F-5632/2023 du 11 octobre 2023</w:t>
      </w:r>
    </w:p>
    <w:p>
      <w:r>
        <w:t>IT: TAF F-5632/2023 del 11 ottobre 2023</w:t>
      </w:r>
    </w:p>
    <w:p>
      <w:pPr>
        <w:pStyle w:val="Heading2"/>
      </w:pPr>
      <w:r>
        <w:t>Regeste</w:t>
      </w:r>
    </w:p>
    <w:p>
      <w:r>
        <w:t>Einreiseverbot | Einreiseverbot; Verfügung des SEM vom 11. Oktober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t>F-5632/2023 Seite 3</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Gemäss Art. 67 Abs. 1 Bst. c AIG verfügt die Vorinstanz unter Vorbehalt von Absatz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Das Einreiseverbot wird grundsätzlich für eine Dauer von höchstens fünf Jahren verfügt (Art. 67 Abs. 3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w:t>
      </w:r>
    </w:p>
    <w:p>
      <w:r>
        <w:t>F-5632/2023 Seite 4 Person zu berücksichtigen (vgl. anstelle vieler Urteil des BVGer F- 4025/2017 vom 1. Oktober 2018 E. 3.2 m.H.). Es genügt dabei, wenn der ausländischen Person eine Sorgfaltspflichtverletzung zugerechnet werden kann. Unkenntnis oder Fehlinterpretation der Einreise- und Aufenthaltsvor- schriften stellen in der Regel keinen hinreichenden Grund für ein Absehen von einer Fernhaltemassnahme dar. Jeder Ausländerin und jedem Auslän- der obliegt es, sich über bestehende Rechte und Pflichten im Zusammen- hang mit den ausländerrechtlichen Vorschriften ins Bild zu setzen und sich im Falle von Unklarheiten bei der zuständigen Behörde zu informieren (vgl. Urteil des BVGer F-5969/2016 vom 28. September 2017 E. 4.4. m.H.).</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der Verordnung [EU] Nr. 2018/1861 des Eu- ropäischen Parlaments und des Rates vom 28. November 2018 über die Einrichtung, den Betrieb und die Nutzung des Schengener Informations- systems [SIS] im Bereich der Grenzkontrollen, zur Änderung des Überein- kommens zur Durchführung des Übereinkommens von Schengen und zur Änderung und Aufhebung der Verordnung [EG] Nr. 1987/2006, ABl. L 312/14 vom 07.12.2018 [SIS-VO-Grenze]; zum Zeitpunkt der Anwend- barkeit der SIS-VO-Grenze siehe BGE 147 V 278 E 2.1 m.w.H.).</w:t>
      </w:r>
    </w:p>
    <w:p>
      <w:r>
        <w:rPr>
          <w:b/>
        </w:rPr>
        <w:t>E. 3.4</w:t>
      </w:r>
    </w:p>
    <w:p>
      <w:r>
        <w:t>Ausnahmsweise können humanitäre oder andere wichtige Gründe ei- nem Einreiseverbot entgegenstehen, respektive zu dessen vollständiger oder vorübergehender Aufhebung führen (vgl. Art. 67 Abs. 5 AIG).</w:t>
      </w:r>
    </w:p>
    <w:p>
      <w:r>
        <w:rPr>
          <w:b/>
        </w:rPr>
        <w:t>E. 4</w:t>
      </w:r>
    </w:p>
    <w:p>
      <w:r>
        <w:t>Die Vorinstanz begründet in der angefochtenen Verfügung die Anordnung der Fernhaltemassnahme gegenüber der Beschwerdeführerin mit ihrem Verstoss gegen die öffentliche Sicherheit und Ordnung durch ihre Gehil- fenschaft zum Betrug und zum versuchten Betrug (Art. 67 Abs. 1 Bst. c AIG) sowie mit der Anordnung einer Ausschaffungshaft ihr gegenüber (Art. 67 Abs. 2 Bst. b AIG). Bezüglich ersterem wurde die Beschwerdefüh- rerin rechtskräftig verurteilt (vgl. Strafakten Staatsanwaltschaft Win- terthur/Unterland, act. 13, Rechtskraftbescheinigung). Das Vorbringen, die Beschwerdeführerin habe ihre Unschuld beweisen können, erweist sich als unzutreffend (vgl. SEM-act. 3, 10). In Bezug auf ihre Gehilfenschaft zum Betrug hat die Beschwerdeführerin einen Fernhaltegrund gesetzt. Vor die- sem Hintergrund erscheint es als unerheblich, dass aus den Akten nicht</w:t>
      </w:r>
    </w:p>
    <w:p>
      <w:r>
        <w:t>F-5632/2023 Seite 5 klar hervorgeht, ob die Beschwerdeführerin in Ausschaffungshaft gesetzt wurde. Durch ihr Verhalten hat sie gesetzliche Vorschriften missachtet und damit gegen die öffentliche Sicherheit und Ordnung verstossen (Art. 67 Abs. 1 Bst. c AIG i.V.m. Art. 77a Abs. 1 Bst. a VZAE).</w:t>
      </w:r>
    </w:p>
    <w:p>
      <w:r>
        <w:rPr>
          <w:b/>
        </w:rPr>
        <w:t>E. 5</w:t>
      </w:r>
    </w:p>
    <w:p>
      <w:r>
        <w:t>AIG zu prüfen (vgl. unten E. 7.).</w:t>
      </w:r>
    </w:p>
    <w:p>
      <w:r>
        <w:rPr>
          <w:b/>
        </w:rPr>
        <w:t>E. 5.1</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 BVGer F-1419/2020 vom 11. August 2020 E. 3.4; vgl. auch HÄFELIN/MÜL- LER/UHLMANN, Allgemeines Verwaltungsrecht, 8. Aufl. 2020, Rz. 555 ff.).</w:t>
      </w:r>
    </w:p>
    <w:p>
      <w:r>
        <w:rPr>
          <w:b/>
        </w:rPr>
        <w:t>E. 5.2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inskünftig einzuhalten und so einer weiteren Störung der öf- fentlichen Sicherheit und Ordnung entgegenzuwirken (vgl. Urteil des BVGer F-1827/2018 vom 30. September 2019 E. 7.1). Indem die Be- schwerdeführerin sich vorliegend als Gehilfin daran beteiligte, betagte Per- sonen durch die Vorspiegelung wahrheitswidriger Tatsachen und unter Ausnützung eines scheinbaren Vertrauensverhältnisses um hohe Geldbe- träge zu betrügen, hat sie ein besonders verwerfliches Verhalten an den Tag gelegt. Dieses begründet ein starkes öffentliches Interesse an ihrer befristeten Fernhaltung.</w:t>
      </w:r>
    </w:p>
    <w:p>
      <w:r>
        <w:rPr>
          <w:b/>
        </w:rPr>
        <w:t>E. 5.3</w:t>
      </w:r>
    </w:p>
    <w:p>
      <w:r>
        <w:t>Den öffentlichen sind die privaten Interessen der Beschwerdeführerin an einer unbedingten Einreise in die Schweiz gegenüber zu stellen. Sie weist diesbezüglich auf ihre Beziehung mit dem schweizerische Staatsan- gehörigen B._______ (geboren 1980) hin, den sie zu heiraten beabsichtige und mit welchem sie eine gemeinsame Zukunft aufbauen wolle. Mit Ein- gabe vom 8. Dezember 2024 bestätigte letzterer diese Absicht. Gemäss</w:t>
      </w:r>
    </w:p>
    <w:p>
      <w:r>
        <w:t>F-5632/2023 Seite 6 Aktenlage kann aber nicht davon ausgegangen werden, dass das Verhält- nis der Beschwerdeführerin mit ihrem Partner als sogenannte «de facto» Familienbeziehung in den Schutzbereich von Art. 8 EMRK fällt (vgl. Urteile des EGMR Marckx gegen Belgien vom 13. Juni 1979, Serie A Bd. 31 § 31; Z.H. und R.H. gegen Schweiz vom 8. Dezember 2015, Nr. 60119/12, § 42; BGE 144 II 1 E. 6.1; Urteil des BVGer F-55/2024 vom 19. Juli 2024 m.w.H.). Im Falle einer Heirat hätte die Vorinstanz die Anwendung von Art. 67 Abs.</w:t>
      </w:r>
    </w:p>
    <w:p>
      <w:r>
        <w:rPr>
          <w:b/>
        </w:rPr>
        <w:t>E. 5.4</w:t>
      </w:r>
    </w:p>
    <w:p>
      <w:r>
        <w:t>Zusammenfassend ist festzuhalten, dass die privaten Interessen der Beschwerdeführerin nicht ausreichen, um das starke öffentliche Interesse an ihrer befristeten Fernhaltung zu überwiegen. Das private Interesse der Beschwerdeführerin, ihren Partner in der Schweiz zu besuchen, hat vorlie- gend vor dem gewichtigen öffentlichen Interesse an ihrer Fernhaltung in den Hintergrund zu treten. Das auf drei Jahre befristete Einreiseverbot stellt auch hinsichtlich der Dauer eine angemessene Massnahme zum Schutz der öffentlichen Sicherheit und Ordnung dar (vgl. Urteile des BVGer F-925/2020 vom 30. August 2021; F-4001/2017 vom 12. November 2019; F-5519/2015 vom 12. Juni 2017). Damit ist der Eventualantrag zur Reduk- tion der Dauer des Einreiseverbots ebenfalls abzuweisen.</w:t>
      </w:r>
    </w:p>
    <w:p>
      <w:r>
        <w:rPr>
          <w:b/>
        </w:rPr>
        <w:t>E. 6</w:t>
      </w:r>
    </w:p>
    <w:p>
      <w:r>
        <w:t>Nicht zu beanstanden ist schliesslich auch die Ausschreibung der Be- schwerdeführerin im SIS, was von ihr auch nicht substantiiert bestritten wird. Wird gegen eine drittstaatsangehörige Person ein Einreiseverbot ver- hängt, so kann sie im SIS zur Einreiseverweigerung ausgeschrieben wer- den, wenn sie wegen einer Straftat verurteilt wurde, die mit Freiheitsstrafe von mindestens einem Jahr bedroht ist (vgl. Art. 21 und 24 Ziff. 2 Bst. a SIS-VO-Grenze). Den Anforderungen des Art. 24 Ziff. 2 Bst. a SIS-VO- Grenze ist Genüge getan, wenn die Obergrenze des gesetzlichen Strafrah- mens bei mindestens einem Jahr Freiheitsstrafe liegt (BGE 147 IV 340 E. 4.6 m.H.). Die Beschwerdeführerin wurde wegen Gehilfenschaft zum Betrug und zum versuchten Betrug verurteilt (vgl. E. 4 hiervor). Dieser Straftatbestand wird mit Freiheitsstrafe bis zu fünf Jahren oder Geldstrafe bestraft (vgl. Art. 146 StGB). Die ihr zur Last gelegten Straftaten erfüllen somit zweifellos die Voraussetzungen für eine Ausschreibung im SIS. Die damit einhergehende zusätzliche Einschränkung der persönlichen Bewe- gungsfreiheit ist folglich hinzunehmen. Es bleibt den Schengen-Staaten unbenommen, bei Vorliegen besonderer Gründe die Einreise zu gestatten.</w:t>
      </w:r>
    </w:p>
    <w:p>
      <w:r>
        <w:t>F-5632/2023 Seite 7</w:t>
      </w:r>
    </w:p>
    <w:p>
      <w:r>
        <w:rPr>
          <w:b/>
        </w:rPr>
        <w:t>E. 7</w:t>
      </w:r>
    </w:p>
    <w:p>
      <w:r>
        <w:t>Schliesslich bestehen keine humanitären oder anderen wichtigen Gründe, welche rechtfertigen könnten, von der Verhängung eines Einreiseverbots abzusehen (Art. 67 Abs. 5 AIG). Hinsichtlich der geplanten Hochzeit kön- nen die Beschwerdeführerin und ihr Partner noch darauf hingewiesen wer- den, dass als wichtige Gründe für eine Suspension unter anderem der Be- such von nahen Familienmitgliedern an hohen Feiertagen oder bei bedeu- tenden Familienanlässen, wie Hochzeit oder Taufe gelten (vgl. Weisungen AIG des Staatssekretariats für Migration vom Oktober 2013 Stand 1. März 2023, &lt; www.sem.admin.ch &gt; Publikationen &amp; Service &gt; Weisungen und Kreisschreiben &gt; I. Ausländerbereich, abgerufen am 21.08.2023 [Weisun- gen AIG], S. 237).</w:t>
      </w:r>
    </w:p>
    <w:p>
      <w:r>
        <w:rPr>
          <w:b/>
        </w:rPr>
        <w:t>E. 8</w:t>
      </w:r>
    </w:p>
    <w:p>
      <w:r>
        <w:t>Die angefochtene Verfügung ist nach dem Gesagten im Sinne von Art. 49 VwVG als rechtmässig zu bestätigen. Die Beschwerde ist demnach abzu- weisen.</w:t>
      </w:r>
    </w:p>
    <w:p>
      <w:r>
        <w:rPr>
          <w:b/>
        </w:rPr>
        <w:t>E. 9</w:t>
      </w:r>
    </w:p>
    <w:p>
      <w:r>
        <w:t>Bei diesem Ausgang des Verfahrens sind die Kosten der Beschwerdefüh- rerin aufzuerlegen (Art. 63 Abs. 1 VwVG) und auf insgesamt Fr. 1'000.– festzusetzen (Art. 1–3 des Reglements vom 21. Februar 2008 über die Kosten und Entschädigungen vor dem Bundesverwaltungsgericht [VGKE, SR 173.320.2]). Das Ausrichten einer Parteientschädigung fällt ausgangs- gemäss ausser Betracht (Art. 64 Abs. 1 VwVG e contrario). (Dispositiv nächste Seite)</w:t>
      </w:r>
    </w:p>
    <w:p>
      <w:r>
        <w:t>F-5632/2023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