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F-5621/2014 vom 5. Januar 2017</w:t>
      </w:r>
    </w:p>
    <w:p>
      <w:r>
        <w:t>Bundesverwaltungsgericht, 2017-01-05, FR</w:t>
      </w:r>
    </w:p>
    <w:p>
      <w:r>
        <w:rPr>
          <w:b/>
        </w:rPr>
        <w:t xml:space="preserve">Quelle: </w:t>
      </w:r>
      <w:r>
        <w:t>https://mcp.opencaselaw.ch/entscheid/bvger_F-5621_2014</w:t>
      </w:r>
    </w:p>
    <w:p>
      <w:r>
        <w:t>FR: TAF F-5621/2014 du 5 janvier 2017</w:t>
      </w:r>
    </w:p>
    <w:p>
      <w:r>
        <w:t>IT: TAF F-5621/2014 del 5 gennaio 2017</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X._______ a qualité pour recourir (cf. art. 48 al. 1 PA). En outre,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avancés par les parties (art. 62 al. 4 PA), ni par les considérants juridiques de la décision attaquée (cf. arrêt du Tribunal fédéral 2C_221/2014 du 14 janvier 2015 consid. 5.3 ; ATAF 2009/57 consid. 1.2 ; voir également André Moser et al., Prozessieren vor dem Bundesverwaltungsgericht, Handbücher für die Anwaltspraxis, tome X, 2ème éd. 2013, pp. 226/227, ad ch. 3.197; Moor/Poltier, Droit administratif, vol. II, 2011, pp. 300 et 301, ch. 2.2.6.5 ; Benoît Bovay, Procédure administrative, 2000, pp. 192 et 193, par. 6, ainsi que la jurisprudence citée). Aussi peut-elle admettre ou rejeter le pourvoi pour d'autres motifs que ceux invoqués (cf. notamment ATAF 2007/41 consid. 2, et réf. cit. ; Moser et al., op. cit., p. 24, ch. 1.54; Moor/Poltier, op. cit., ibid.). Dans son arrêt, elle prend en considération l'état de fait régnant au moment où elle statue (cf. ATAF 2014/1 consid. 2, et jurispr. cit.).</w:t>
      </w:r>
    </w:p>
    <w:p>
      <w:r>
        <w:rPr>
          <w:b/>
        </w:rPr>
        <w:t>E. 3</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et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 cf. également ch. 1.3.1.1 et 1.3.1.2 des Directives et circulaires de l'autorité intimée en ligne sur son site internet https://www.sem.admin.ch &gt; Publication &amp; service &gt; Directives et circulaires &gt; I. Domaine des étrangers ; version actualisée le 25 novembre 2016 [site consulté en janvier 2017]). La demande d'autorisation de séjour pour regroupement familial n'a pas fait l'objet d'une décision sur le fond, prise sur recours par une instance cantonale de recours. Il s'ensuit que ni le Tribunal, ni le SEM ne sont liés par la décision du SPoMi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Il sied au préalable de rappeler que l'ALCP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Tribunal fédéral 2A.246/2003 du 19 décembre 2003 consid. 5.1,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arrêts du Tribunal fédéral 2C_1061/2013 du 14 juillet 2015 consid. 5.1; 2C_417/2008 du 18 juin 2010 consid. 4.2; 2A.246/2003 consid. 7.1 et 7.3, ainsi que les réf. citées).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5.2</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Malgré le libellé de cet article, l'exigence de disposer d'un logement adéquat ne saurait en règle générale justifier le refus du regroupement familial (cf. à ce propos Cesla Amarelle/Minh Son Nguyen, Code annoté de droit des migrations, Volume III : Accord sur la libre circulation des personnes [ALCP], Berne 2014, p. 102, ch. 27). Selon la jurisprudence rendue en application de l'art. 3 Annexe I ALCP (ATF 136 II 5 qui, suite à l'affaire Metok,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 Il est encore à noter que l'ALCP ne prévoit pas de conditions temporelles pour déposer une demande de regroupement familial, en dehors de la limite d'âge prévue pour le regroupement familial des enfants (cf. aussi à ce propos Cesla Amarelle/Minh Son Nguyen, op. cit., p. 104, ch. 31). Par ailleurs, selon le Tribunal fédéral,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(cf. ATF 136 II 65 consid. 5.2).</w:t>
      </w:r>
    </w:p>
    <w:p>
      <w:r>
        <w:rPr>
          <w:b/>
        </w:rPr>
        <w:t>E. 5.3</w:t>
      </w:r>
    </w:p>
    <w:p>
      <w:r>
        <w:t>Aux termes de l'art. 3 par. 2 let. b Annexe I ALCP, sont considérés comme membres de la famille, quelle que soit leur nationalité, les ascendants et ceux de son conjoint qui sont à la charge du titulaire initial du droit de séjour. La disposition précitée de l'accord subordonne également le droit au regroupement familial des ascendants à la condition que leur entretien soit garanti (ATF 135 II 369 consid. 3.1 p. 372 ss). L'indigence de la personne à charge doit être effective et prouvée (art. 3 par. 3 let. c annexe I ALCP). Pour ce faire, les autorités d'application peuvent exiger une attestation des autorités du pays d'origine ou de provenance prouvant le lien de parenté et - le cas échéant - le soutien accordé (art. 3 par. 3 annexe I ALCP). La qualité de membre de la famille à charge résulte d'une situation de fait caractérisée par la circonstance que le soutien matériel de membre de la famille est assurée par le ressortissant communautaire ayant fait usage de la liberté de circulation.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La nécessité du soutien matériel doit exister dans l'État d'origine ou de provenance de ces ascendants au moment où ils demandent à rejoindre ledit ressortissant communautaire (cf. ATF 135 II 369, ibid et arrêts cités). En principe, l'entretien doit être assuré par le détenteur du droit originaire (cf. ATF 135 II 369, ibid.).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ch.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état au mois de janvier 2017 [site consulté en janvier 2017]).</w:t>
      </w:r>
    </w:p>
    <w:p>
      <w:r>
        <w:rPr>
          <w:b/>
        </w:rPr>
        <w:t>E. 6</w:t>
      </w:r>
    </w:p>
    <w:p>
      <w:r>
        <w:t>La demande de regroupement familial a été déposée auprès de l'autorité cantonale fribourgeoise le 26 avril 2013, alors que Y._______ était âgée de 75 ans. Il ressort également du dossier que la prénommée a déposé le 31 mai 2013 une demande pour un visa de long séjour (visa D) en vue d'un regroupement familial avec son fils, domicilié à Fribourg. Il convient donc d'examiner si les conditions de délivrance d'une autorisation de séjour pour regroupement familial au sens de l'art. 3 par. 2 let. b Annexe I ALCP sont respectées dans le cas d'espèce.</w:t>
      </w:r>
    </w:p>
    <w:p>
      <w:r>
        <w:rPr>
          <w:b/>
        </w:rPr>
        <w:t>E. 6.1</w:t>
      </w:r>
    </w:p>
    <w:p>
      <w:r>
        <w:t>En ce qui concerne la condition relative au logement, le Tribunal observe qu'à teneur des directives du SEM, un logement est considéré comme approprié lorsqu'il permet de loger toute la famille sans être surpeuplé (cf. le ch. 6.4.2.2 des directives et circulaires du SEM, publiées sur le site internet www.sem.admin.ch Publications &amp; service Directives et circulaires I. Domaine des étrangers 1. Procédure et compétences, version actualisée le 25 novembre 2016 ; site consulté en janvier 2017). La condition du "logement approprié" ne s'apprécie pas de la même manière dans toute la Suisse (sur cette question, cf. Commission fédérale pour les questions de migration [CFM], Les marges de manoeuvre au sein du fédéralisme : La politique de migration dans les cantons, étude publiée en 2011, en ligne sur son site [http://www.ekm.admin.ch, Publications Documentation sur la politique de migration], p. 77 ;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ainsi établi la formule standard suivante : "nombre de personnes - 1 = taille minimale du logement" (cf. ch. 6.1.4 des directives susmentionnées). La majeure partie des cantons appliquent cette formule pour évaluer la taille appropriée d'un logement (cf., sur ce point, les arrêts du Tribunal administratif fédéral C-4905/2014 du 17 mars 2016 consid. 6.4 et les références citées). En l'espèce, il apparaît que X._______ partage un appartement de quatre pièces avec son épouse et ses deux filles, nées en 2003 et 2006 (cf. contrat de bail à loyer signé le 16 novembre 2012, pièce versée au dossier le 26 avril 2013). Force est par conséquent de constater que l'appartement en question présente le nombre de pièces requises pour loger convenablement Y._______. Ce point n'est du reste nullement contesté par l'autorité de première instance.</w:t>
      </w:r>
    </w:p>
    <w:p>
      <w:r>
        <w:rPr>
          <w:b/>
        </w:rPr>
        <w:t>E. 6.2</w:t>
      </w:r>
    </w:p>
    <w:p>
      <w:r>
        <w:t>Cela étant, le SEM, se référant aux « directives ALCP » [recte : OLCP] (directives remplacées au mois de janvier 2017 par les nouvelles directives OLCP précitées), considère que la présente demande de regroupement familial n'a pas pour objectif le maintien de la vie familiale en Suisse (cf. décision du 5 septembre 2014). Certes, le passage topique des directives de l'autorité intimée mentionne que les autorités cantonales compétentes sont invitées à examiner attentivement si la demande est bien déposée en vue du « maintien » de la communauté familiale. Comme le relève au demeurant le SEM, ce passage fait référence à la situation d'un regroupement familial concernant des descendants et l'autorité intimée s'y réfère dans le cas d'espèce par analogie, en précisant par ailleurs que la demande de regroupement familial doit être déposée dans les 5 ans par référence à l'art. 47 al. 1 LEtr. Le Tribunal constate en premier lieu que, dans le cadre de regroupement familial en application de l'ALCP, il n'existe pas de conditions temporelles pour déposer une telle demande, en dehors de la limite d'âge prévue pour le regroupement familial des enfants, ce qui n'est pas le cas en l'occurrence puisqu'il s'agit d'un regroupement familial pour ascendant (cf. aussi consid. 5.2 ci-dessus). Il convient au surplus de rappeler ici qu'aux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ce qui n'est pas le cas en l'occurrence. En second lieu, comme déjà relevé ci-dessus, la jurisprudence citée dans les directives précitées se rapporte aux cas de regroupement familial pour descendants. Or, il tombe sous le sens dans le cas d'espèce qu'il s'agit plutôt de reconstituer une cellule familiale qui a été séparée par les circonstances de la vie, le fils - détenteur du droit originaire - ayant quitté le domicile familial il y a de nombreuses années pour fonder sa famille selon le cours ordinaire des choses, ce qu'on ne saurait lui reprocher. C'est donc dans ce contexte qu'il convient d'examiner attentivement si la demande de regroupement familial pour ascendant est bien déposée en vue de reconstituer une communauté familiale en Suisse et n'est pas abusive parce que déposée uniquement dans le but d'éluder les prescriptions d'admission au sens de l'ALCP. Sur cette notion d'abus, les directives précitées (ibid.) mentionnent, à titre d'exemple, qu'une demande serait abusive si le membre de la famille à charge ne devait pas entretenir de relation étroite et suivie avec son parent en Suisse, si le soutien que ce dernier devait lui apporter serait faible ou épisodique ou si l'ascendant admis en Suisse devait exercer une activité lucrative, ce qui est exclu a contrario par l'art. 3 par. 5 Annexe I ALCP. Dans le cas d'espèce, on ne distingue pas d'éléments permettant de conclure à une volonté d'éluder les prescriptions d'admission au sens de l'ALCP.</w:t>
      </w:r>
    </w:p>
    <w:p>
      <w:r>
        <w:rPr>
          <w:b/>
        </w:rPr>
        <w:t>E. 6.3</w:t>
      </w:r>
    </w:p>
    <w:p>
      <w:r>
        <w:t>S'agissant de l'entretien du membre de la famille pour lequel le regroupement familial est requis, il doit être garanti, en principe, par le détenteur du droit originaire (cf. Directives OLCP précitées, ch. 9.6 ; cf. aussi également ATF 135 II 369 consid. 3.1). En l'occurrence, X._______ exerce une activité lucrative qui lui assure un revenu mensuel de 6'570 francs net par mois (13 fois l'an) et ne fait l'objet d'aucune poursuite ou d'actes de défaut de biens (cf. pièces versées en annexe de la requête du 26 avril 2013), de sorte qu'il n'y a pas lieu de remettre en question la capacité d'entretien de l'intéressé, ce qui, du reste, n'a pas non plus été contesté par le SEM. Au surplus, il est encore à noter que l'épouse du prénommé exerce aussi une activité lucrative, ce qui permet de consolider la situation financière de l'intéressé (cf. attestations de salaire de l'épouse jointe au courrier du 24 juin 2013 adressé au SPoMi).</w:t>
      </w:r>
    </w:p>
    <w:p>
      <w:r>
        <w:rPr>
          <w:b/>
        </w:rPr>
        <w:t>E. 6.4</w:t>
      </w:r>
    </w:p>
    <w:p>
      <w:r>
        <w:t>L'art. 3 par. 2 let. b Annexe I ALCP précise que le regroupement familial pour l'ascendant du ressortissant communautaire, titulaire du droit initial, ainsi que pour ceux de son conjoint, n'est possible que si lesdits ascendants sont à sa charge (cf. consid. 5.3 et jurisprudence citée).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(cf. ATF 135 II 369 consid. 3.1 et arrêts de la CJCE du 19 octobre 2004 C-200/02 Zhu et Chen, Rec. 2004 I-09925 point 43 et du 9 janvier 2007 C-1/05 Jia, Rec. 2007 I-00001 points 37 et 43). Dans le cas d'espèce, Y._______ perçoit, comme seule source de revenu, une pension de retraite s'élevant à 1'165 DH, soit l'équivalent de 119 francs (cf. attestation de pension jointe à la requête du 26 avril 2013 et relevé de compte bancaire joint aux observations du 9 décembre 2015). Selon les informations en possession du Tribunal, le revenu minimum réglementairement évalué en 2014 au Maroc était d'un montant de 2'300 DH (soit l'équivalent de 247 francs) et la pension moyenne, toute catégories confondues, établie comme régime de base obligatoire par la Caisse nationale de sécurité sociale (CNSS) était fixée à un montant de 1'710 DH (soit l'équivalent de 183 francs), somme qui ne correspond même pas au revenu minimum. Le montant de la pension que touche la prénommée correspond à peu près à la moitié du revenu minimum au Maroc mentionné ci-avant et se situe en dessous de celui établi pour une pension moyenne, de sorte que, sur cette base, le Tribunal peut considérer que la situation financière de l'intéressée est précaire et nécessite un soutien matériel externe. En outre, Y._______ doit assumer des frais fixes, notamment un loyer d'un montant de 220 DH (soit l'équivalent de 22 francs) et doit faire face, au vu de son état de santé résultant de son âge, à des frais de consultation médicale et de médicaments (cf. factures jointes au courrier des 26 avril 2013, 19 février 2014, 13 mars et 4 novembre 2015) dont le montant atteint souvent les trois-quarts de sa pension, voire dépasse largement celle-ci. Il ressort également du dossier que pour ces raisons, le recourant a conclu en faveur de sa mère une police d'assurance-maladie en Suisse, dont il paie la cotisation mensuelle d'un montant de 270 francs (cf. attestation du 28 septembre 2012) et a mis en place, dès le mois de janvier 2011, le virement de mensuel d'une somme de 220 francs sur un compte bancaire au Maroc (cf. attestation d'ordre permanant du 2 janvier 2011), permettant ainsi de créer un compte afin de gérer sur place les factures et autres besoins de la prénommée. A cela s'ajoute encore le fait que, depuis 2007 (cf. copies des passeports de la prénommée établis en 2006 et 2011 et des timbres humides y figurant), le recourant a fait venir la prénommée en Suisse plusieurs fois par année, dans le cadre de visas accordés pour des visites, en prenant en charge tous les frais de voyage et de séjour de cette dernière. Compte tenu de ce qui précède, le Tribunal considère que Y._______ est bien à charge de son fils, dans la mesure où ses revenus ne lui permettent pas de subvenir à ses besoins essentiels au vu du montant de sa pension et des frais qu'elle doit supporter.</w:t>
      </w:r>
    </w:p>
    <w:p>
      <w:r>
        <w:rPr>
          <w:b/>
        </w:rPr>
        <w:t>E. 6.5</w:t>
      </w:r>
    </w:p>
    <w:p>
      <w:r>
        <w:t>Quant à l'intensité de la relation familiale (cf. consid. 5.2 in fine), le Tribunal relève que le recourant a gardé un contact étroit avec sa mère tout au long de son séjour en Suisse, preuve étant les nombreux séjours de cette dernière sur territoire helvétique dans le cadre des visas octroyés par les autorités suisses compétentes et les nombreux voyages effectués au Maroc par l'intéressé lui-même. Par ailleurs, X._______ a aussi exposé les raisons pour lesquelles il sollicitait le regroupement familial avec sa mère, à savoir le fait qu'il lui était de plus en plus difficile de gérer ses voyages au Maroc pour aller aider sa mère sur place (cf. courrier du prénommé du 7 octobre 2013 adressé au SPoMi) et que l'autonomie de Y._______, qui vit seule dans son appartement (cf. certificat de résidence du 9 mars 2010), diminuait compte tenu notamment des troubles de santé inhérents à son âge (cf. observations du 9 décembre 2015). Dans ces circonstances, l'on ne saurait considérer que la requête déposée le 26 avril 2013 soit contraire à l'ordre public au sens de l'art. 5 par. 1 Annexe I ALCP.</w:t>
      </w:r>
    </w:p>
    <w:p>
      <w:r>
        <w:rPr>
          <w:b/>
        </w:rPr>
        <w:t>E. 6.6</w:t>
      </w:r>
    </w:p>
    <w:p>
      <w:r>
        <w:t>Il convient encore d'examiner dans quelle mesure la demande d'une autorisation de séjour à Y._______ en application de l'art. 3 par. 1 let. b Annexe I ALCP serait en soi constitutive d'un abus de droit. Au considérant 6.5 ci-dessus, le Tribunal a déjà considéré - s'agissant de l'examen de la nature de la relation entretenue par le recourant avec sa mère - que la requête n'était pas contraire à l'ordre public au sens de l'art. 5 ALCP. En outre, au vu des raisons invoquées pour le regroupement familial, on ne saurait retenir, comme le SEM l'a relevé dans ses observations du 18 avril 2016, que la demande précitée poursuive comme seul but l'opportunité d'offrir à la prénommée de meilleures conditions sur le plan économique en Suisse qu'au Maroc ou encore imputer au recourant ou à sa mère une volonté de contourner le but premier de l'ALCP, visant à permettre la reconstitution de la vie commune des membres de la famille, par l'existence d'intérêts de nature purement économique (cf. arrêt du Tribunal fédéral 2C_767/2013 du 6 mars 2014 consid. 3.1 et 3.3).</w:t>
      </w:r>
    </w:p>
    <w:p>
      <w:r>
        <w:rPr>
          <w:b/>
        </w:rPr>
        <w:t>E. 7</w:t>
      </w:r>
    </w:p>
    <w:p>
      <w:r>
        <w:t>Compte tenu de l'ensemble des éléments exposés ci-dessus, le recours doit être admis, la décision attaquée annulée et la délivrance par les autorités cantonales fribourgeoises d'une autorisation de séjour au titre du regroupement familial approuvée.</w:t>
      </w:r>
    </w:p>
    <w:p>
      <w:r>
        <w:rPr>
          <w:b/>
        </w:rPr>
        <w:t>E. 8</w:t>
      </w:r>
    </w:p>
    <w:p>
      <w:r>
        <w:t>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1 et 2 en lien avec l'art. 10 al. 2 FITAF). Au vu de l'ensemble des circonstances du cas d'espèce, de l'importance de l'affaire, du degré de difficulté de cette dernière, de l'ampleur du travail accompli par l'avocate de l'intéressé, le Tribunal estime, au regard des art. 8ss FITAF, que le versement d'un montant de 2'000 francs à titre de dépens, couvrant l'ensemble des frais de représentation au sens de l'art. 9 al. 1 let. a à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