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F-560/2019 vom 25. Juni 2019</w:t>
      </w:r>
    </w:p>
    <w:p>
      <w:r>
        <w:t>Bundesverwaltungsgericht, 2019-06-25, DE</w:t>
      </w:r>
    </w:p>
    <w:p>
      <w:r>
        <w:rPr>
          <w:b/>
        </w:rPr>
        <w:t xml:space="preserve">Quelle: </w:t>
      </w:r>
      <w:r>
        <w:t>https://mcp.opencaselaw.ch/entscheid/bvger_F-560_2019</w:t>
      </w:r>
    </w:p>
    <w:p>
      <w:r>
        <w:t>FR: TAF F-560/2019 du 25 juin 2019</w:t>
      </w:r>
    </w:p>
    <w:p>
      <w:r>
        <w:t>IT: TAF F-560/2019 del 25 giugno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Gastgebende zur Beschwerde berechtigt (vgl. Art. 48 Abs. 1 VwVG). Auch die übrigen Sachurteilsvoraussetzungen sind erfüllt, weshalb auf die Beschwerde einzutreten ist (vgl. Art. 50 und Art.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angefochtene Verfügung erging nach der Verordnung vom 22. Oktober 2008 über die Einreise und die Visumerteilung (aVEV, AS 2008 5441). Besagte Verordnung wurde per 15. September 2018 aufgehoben und durch die Verordnung über die Einreise und Visumerteilung vom 15. August 2018 (VEV, SR 142.204) ersetzt. Gemäss den Übergangsbestimmungen kommt im vorliegenden Verfahren neues Recht zur Anwendung (vgl. Art. 69-71 VEV).</w:t>
      </w:r>
    </w:p>
    <w:p>
      <w:r>
        <w:rPr>
          <w:b/>
        </w:rPr>
        <w:t>E. 3.2</w:t>
      </w:r>
    </w:p>
    <w:p>
      <w:r>
        <w:t>Am 1. Januar 2019 hat das Bundesgesetz über die Ausländerinnen und Ausländer vom 16. Dezember 2005 (AuG) eine Teilrevision und Namensänderung erfahren (Änderung des AuG vom 16. Dezember 2016, AS 2018 3171). An den hier einschlägigen Gesetzesbestimmungen hat sich inhaltlich nichts geändert, sodass der Einfachheit halber im Folgenden die neue Bezeichnung verwendet wird (Bundesgesetz über die Ausländerinnen und Ausländer und über die Integration vom 16. Dezember 2005, AIG; im Einzelnen Urteil des BVGer F-1186/2018 vom 10. Januar 2019 E. 2).</w:t>
      </w:r>
    </w:p>
    <w:p>
      <w:r>
        <w:rPr>
          <w:b/>
        </w:rPr>
        <w:t>E. 4.1</w:t>
      </w:r>
    </w:p>
    <w:p>
      <w:r>
        <w:t>Der angefochtenen Verfügung liegt das Gesuch eines kosovarischen Staatsangehörigen um Erteilung eines Visums zu Besuchszwecken für die Schweiz zugrunde. Da sich der Gesuchsteller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4.3</w:t>
      </w:r>
    </w:p>
    <w:p>
      <w:r>
        <w:t>Drittstaatsangehörige benötigen zur Einreise in den Schengen-Raum für einen Aufenthalt von höchstens 90 Tagen innerhalb eines Zeitraums von 180 Tagen gültige Reisedokumente, die zum Grenzübertritt berechtigen, und ein Visum, sofern dieses - wie im Falle des aus Kosovo stammenden Gesuchstellers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5.1</w:t>
      </w:r>
    </w:p>
    <w:p>
      <w:r>
        <w:t>Bei der Beurteilung der Gewähr für eine fristgerechte Wiederausreise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5.2</w:t>
      </w:r>
    </w:p>
    <w:p>
      <w:r>
        <w:t>Im Zusammenhang mit der allgemeinen Lage in Kosovo wies dieVorinstanz in ihrem Entscheid auf die nachteiligen wirtschaftlichen Verhältnisse und den damit einhergehenden Migrationsdruck hin. Diese Einschätzung ist im Ergebnis nicht zu beanstanden: Die Arbeitslosigkeit liegt bei 27.5% (bei Jugendlichen zwischen 15 und 24 Jahren bei 52.4%) und das Pro-Kopf-Einkommen beträgt EUR 3'339.-, womit Kosovo als ärmstes Land auf dem Balkan gilt (Quelle: Deutsches Auswärtiges Amt: www.auswaertiges-amt.de Aussen- und Europapolitik Länder Kosovo Wirtschaftspolitik, Stand: Oktober 2017, besucht im Juni 2019; vgl. zur Lage in Kosovo Urteil des BVGer F-4033/2017 vom 12. März 2018 E. 5.3).</w:t>
      </w:r>
    </w:p>
    <w:p>
      <w:r>
        <w:rPr>
          <w:b/>
        </w:rPr>
        <w:t>E. 5.3</w:t>
      </w:r>
    </w:p>
    <w:p>
      <w:r>
        <w:t>Vor diesem Hintergrund kann insbesondere bei jungen, ungebundenen Personen der Wunsch nach Auswanderung entstehen. Ein im Ausland bereits bestehendes, soziales Beziehungsnetz aus Verwandten oder Freunden kann eine Emigration begünstigen. So wird nach einer allfälligen Einreise nicht selten - unter Umgehung ausländerrechtlicher Bestimmungen - versucht, den Aufenthalt auf eine ganz andere rechtliche oder faktische Basis zu stellen und sich so der Pflicht zur Wiederausreise zu entziehen (Urteil des BVGer F-6975/2018 vom 11. März 2019 E. 5.3).</w:t>
      </w:r>
    </w:p>
    <w:p>
      <w:r>
        <w:rPr>
          <w:b/>
        </w:rPr>
        <w:t>E. 6.1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Beim Gesuchsteller handelt es sich um einen 29-jährigen, unverheirateten und kinderlosen Mann. Er lebt in Kosovo bei seinen Eltern. Aus den Akten ergeben sich keine weiteren Hinweise auf die persönlichen Verhältnisse des Gesuchstellers. Besondere soziale oder familiäre Verpflichtungen, welche den Gesuchsteller von einer Emigration abhalten könnten, sind nicht erkennbar.</w:t>
      </w:r>
    </w:p>
    <w:p>
      <w:r>
        <w:rPr>
          <w:b/>
        </w:rPr>
        <w:t>E. 6.3</w:t>
      </w:r>
    </w:p>
    <w:p>
      <w:r>
        <w:t>In seinem Visumantrag gab der Gesuchsteller an, arbeitslos zu sein (SEM-act. 3/S. 30 Ziff. 19). Im Rahmen der kantonalen Abklärungen führten die Beschwerdeführenden aus, dass er im landwirtschaftlichen Familienbetrieb seines Cousins arbeite (SEM-act. 6/S. 42 Ziff. 3). Allerdings fehlen Unterlagen, die ein regelmässiges Einkommen oder Vermögen des Gesuchstellers belegen würden. Die Beschwerdeführenden machen geltend, der Vater des Gesuchstellers verfüge über eine Festanstellung und beziehe ein monatliches Gehalt, ohne jedoch entsprechende Belege einzureichen. Auch die behauptete finanzielle Unterstützung der Familie durch die Beschwerdeführenden lässt keine Schlüsse auf die wirtschaftliche Situation des Gesuchstellers zu, sodass nicht davon ausgegangen werden kann, dass diese ihn von einer Emigration abhalten könnte.</w:t>
      </w:r>
    </w:p>
    <w:p>
      <w:r>
        <w:rPr>
          <w:b/>
        </w:rPr>
        <w:t>E. 6.4</w:t>
      </w:r>
    </w:p>
    <w:p>
      <w:r>
        <w:t>Dem Gesuchsteller wurden bereits in den Jahren 2011, 2012, 2013 und 2014 Schengen-Visa für Besuchsaufenthalte zwischen 15 und 30 Tagen in der Schweiz - einmal sogar für die mehrfache Einreise innerhalb eines Jahres - erteilt (vgl. Beilagen zu BVGer-act. 7; SEM-act. 3/S. 18-21). Er hat die Schweiz jeweils fristgerecht verlassen, was die Prognose für eine anstandslose Wiederausreise auch im Hinblick auf den replikweise beantragten 14-tägigen Besuchsaufenthalt klar begünstigt. Zudem besteht für den geplanten Besuchsaufenthalt ein konkreter Anlass, und zwar der Einzug der Beschwerdeführenden in ihr neues Heim in der Schweiz, zu dem sie auch andere Verwandte einladen würden (vgl. BVGer-act. 7). Im Weiteren stellen die Beschwerdeführenden die Leistung einer Kaution von Fr. 100'000.- in Aussicht (BVGer-act. 1) und belegen, dass sie über dieses Geld verfügen (vgl. Kontoauszüge in SEM-act. 6/S. 37-38).</w:t>
      </w:r>
    </w:p>
    <w:p>
      <w:r>
        <w:rPr>
          <w:b/>
        </w:rPr>
        <w:t>E. 6.5</w:t>
      </w:r>
    </w:p>
    <w:p>
      <w:r>
        <w:t>Auf der anderen Seite darf das Risiko einer Auswanderung nicht unterschätzt werden, da es sich beim Gesuchsteller um eine junge Person ohne besondere berufliche oder familiäre Verpflichtungen im Heimatland handelt und seine finanzielle Situation auch nicht als vorteilhaft bezeichnet werden kann (vgl. hierzu vorn E. 6.2 und 6.3). Zudem verfügt er in der Schweiz durch seinen Bruder und dessen Ehefrau über ein vorbestehendes familiäres Beziehungsnetz (vgl. zum Emigrationsrisiko vorn E. 5.3).</w:t>
      </w:r>
    </w:p>
    <w:p>
      <w:r>
        <w:rPr>
          <w:b/>
        </w:rPr>
        <w:t>E. 6.6</w:t>
      </w:r>
    </w:p>
    <w:p>
      <w:r>
        <w:t>Vor diesem Hintergrund fragt sich, ob dem Risiko einer nicht fristgerechten Wiederausreise des Gesuchstellers und den in diesem Fall entstehenden hohen Aufenthalts-, Betreuungs- und Rückreisekosten vorliegend mit der Auferlegung einer Kaution Rechnung getragen werden kann (vgl. Art. 6 Abs. 3 SGK i.V.m. Art. 5 Abs. 1 Bst. b AIG; vgl. auch Art. 6 Abs. 3 AIG; vgl. hierzu und zum Folgenden Urteil des BVGer F-190/2017 vom 9. Oktober 2018 E. 8.3 [zur Publikation vorgesehen]). Die vorgängige Hinterlegung einer Kaution soll im Einklang mit Art. 5 Abs. 2 AIG und Art. 6 Abs. 1 Bst. c sowie Abs. 3 SGK (s. auch Anhang I) ebenfalls dazu dienen, Gewähr für die sichere Wiederausreise des Gesuchstellers bei Ablauf seines Visums zu bieten. Im Urteil F-190/2017 wurde die Möglichkeit der Hinterlegung einer Kaution für einen 30-tägigen Besuchsaufenthalt einer 35-jährigen, verheirateten Frau aus Gambia bei ihrem Cousin in der Schweiz bejaht, da ihr als Mutter von 3 minderjährigen Kindern sowie als Ehe- und Hausfrau eine familiäre Verantwortung oblag, die besondere Gewähr für eine Rückkehr ins Heimatland bot. Ihre wirtschaftliche Situation konnte als eher vorteilhaft bezeichnet werden (vgl. Urteil F-190/2017 E. 8.1 und 8.2). Die Lage des Gesuchstellers stellt sich vorliegend insofern anders dar, als ihm in seinem Heimatland keine besonderen familiären Verpflichtungen obliegen, und er - trotz der behaupteten Tätigkeit im Betrieb des Cousins - weder Einkommen noch Vermögen nachgewiesen hat (vgl. hierzu vorn E. 6.2 und 6.3). Auf der anderen Seite hat der Gesuchsteller sein ausländerrechtlich konformes Verhalten anlässlich seiner bisherigen Besuchsaufenthalte in der Schweiz schon mehrfach unter Beweis gestellt, indem er jeweils fristgerecht ausgereist ist. Vor diesem Hintergrund sowie angesichts des anlassbezogenen, zeitlich eng umgrenzten Besuchsaufenthalts und der Bereitschaft der Beschwerdeführenden, für allfällig entstehende Aufenthalts-, Betreuungs- und Rückreisekosten finanziell einzustehen, erscheint das Risiko einer nicht fristgerechten Wiederausreise des Gesuchstellers im vorliegenden Fall insgesamt als vergleichbar mit jenem im Urteil F-190/2017. Somit ist dem Gesuchsteller das beantragte Visum unter der Auflage zu erteilen, dass er sowie die Beschwerdeführenden solidarisch aufzufordern sind, eine Kaution im Betrag von Fr. 30'000.- beim zuständigen kantonalen Migrationsamt beziehungsweise auf ein von letzterer Behörde bezeichnetes Bankkonto (Bankgarantie) in der Schweiz zu hinterlegen (vgl. Art. 6 Abs. 3 AIG i.V.m. Art. 15 Abs. 5 [analog] und Art. 18 VEV).</w:t>
      </w:r>
    </w:p>
    <w:p>
      <w:r>
        <w:rPr>
          <w:b/>
        </w:rPr>
        <w:t>E. 6.7</w:t>
      </w:r>
    </w:p>
    <w:p>
      <w:r>
        <w:t>Zusammenfassend ist somit festzuhalten, dass dem Gesuchsteller die Erteilung eines Visums nicht mit der Begründung verweigert werden darf, die Wiederausreise erscheine nicht als hinreichend gesichert. Die Beschwerde ist daher gutzuheissen, die angefochtene Verfügung aufzuheben und die Sache zur Neubeurteilung an die Vorinstanz zurückzuweisen. Dabei bleibt von der Vorinstanz abzuklären, ob der Gesuchsteller die übrigen Einreisevoraussetzungen eingehalten hat (vgl. E. 4), beziehungsweise, ob der Kautionszahlung nachgekommen wurde.</w:t>
      </w:r>
    </w:p>
    <w:p>
      <w:r>
        <w:rPr>
          <w:b/>
        </w:rPr>
        <w:t>E. 7.1</w:t>
      </w:r>
    </w:p>
    <w:p>
      <w:r>
        <w:t>Bei diesem Ausgang des Verfahrens sind weder den Beschwerdeführenden noch der Vorinstanz Kosten aufzuerlegen (Art. 63 Abs. 1 und 2 VwVG). Der geleistete Kostenvorschuss ist zurückzuerstatten.</w:t>
      </w:r>
    </w:p>
    <w:p>
      <w:r>
        <w:rPr>
          <w:b/>
        </w:rPr>
        <w:t>E. 7.2</w:t>
      </w:r>
    </w:p>
    <w:p>
      <w:r>
        <w:t>Eine Parteientschädigung für das Beschwerdeverfahren ist angesichts der den Beschwerdeführenden entstandenen verhältnismässig geringen Kosten nicht zuzusprechen (vgl.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