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F-5607/2025 vom 30. Juli 2025</w:t>
      </w:r>
    </w:p>
    <w:p>
      <w:r>
        <w:t>Bundesverwaltungsgericht, 2025-07-30, DE</w:t>
      </w:r>
    </w:p>
    <w:p>
      <w:r>
        <w:rPr>
          <w:b/>
        </w:rPr>
        <w:t xml:space="preserve">Quelle: </w:t>
      </w:r>
      <w:r>
        <w:t>https://mcp.opencaselaw.ch/entscheid/bvger_F-5607_2025</w:t>
      </w:r>
    </w:p>
    <w:p>
      <w:r>
        <w:t>FR: TAF F-5607/2025 du 30 juillet 2025</w:t>
      </w:r>
    </w:p>
    <w:p>
      <w:r>
        <w:t>IT: TAF F-5607/2025 del 30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Die Beschwerde ist zulässig (Art. 105 AsylG; Art. 31 ff. VGG). Die übrigen Sachurteilsvoraussetzungen (Legitimation [Art. 48 Abs. 1 VwVG], Frist [Art. 108 Abs. 3 AsylG bzw. Art. 50 Abs. 1 VwVG] und Form [Art. 52 Abs. 1 VwVG]) sind erfüllt. Auf die Beschwerde ist einzutreten. Das Gericht entscheidet über diese endgültig (Art. 83 Bst. d Ziff. 1 BGG).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Vorinstanz hat korrekt erwogen, dass gemäss Art. 18 Abs. 1 Bst. d Dublin-III-VO grundsätzlich Schweden für das Asylverfahren des Beschwerdeführers zuständig ist, dass das schwedische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das Vorbringen des Beschwerdeführers, er habe in Schweden Drohanrufe erhalten, damit er Schulden seines Bruders begleiche, berücksichtigt und korrekt erwogen, dass Schweden ein Rechtsstaat mit funktionierendem Justizsystem ist und der Beschwerdeführer sich an die zuständigen Behörden wenden könne. Die Vorinstanz hat den Gesundheitszustand des Beschwerdeführers genügend abgeklärt und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Schweden angeordnet. Zur näheren Begründung wird auf die Erwägungen der Vorinstanz verwiesen.</w:t>
      </w:r>
    </w:p>
    <w:p>
      <w:r>
        <w:rPr>
          <w:b/>
        </w:rPr>
        <w:t>E. 3.2</w:t>
      </w:r>
    </w:p>
    <w:p>
      <w:r>
        <w:t>Was der Beschwerdeführer auf Rechtsmittelebene vorbringt, vermag daran nichts zu ändern. Ein negativer Asylentscheid der schwedischen Behörden wie er ihn erhalten hat steht einer Überstellung nicht entgegen. Mit seinen unsubstantiierten und unbelegten Vorbringen, er sei von Teilen der Gesellschaft rassistisch und diskriminierend behandelt worden und er habe keinerlei Schutz oder emotionale Sicherheit erfahren, kann der Beschwerdeführer keine Hinweise glaubhaft dartun, dass die schwedischen Behörden sein Asylverfahren nicht rechtskonform durchgeführt hätten oder seine Rechte nicht wahren würden. Ferner macht er geltend, er leide unter einer schweren Depression und befinde sich in der Schweiz in psychiatrischer Behandlung. Eine Rückführung nach Schweden würde seinen Zustand massiv verschlechtern und er würde sich diesfalls in akuter Suizidgefahr befinden. In Schweden habe er traumatische Erfahrungen gemacht und eine Rückkehr in die Nähe seines Bruders in Schweden stelle eine ernsthafte Gefahr für seine psychische Gesundheit dar. Eine zwangsweise Rückweisung von Personen mit gesundheitlichen Problemen verstösst nur ausnahmsweise gegen Art. 3 EMRK (vgl. dazu Urteil des EGMR Paposhvili gegen Belgien vom 13. Dezember 2016, Grosse Kammer, 41738/10, §§ 180-193 m.w.H., bestätigt durch Urteil des EGMR Savran gegen Dänemark 7. Dezember 2021, Grosse Kammer, Nr. 57467/15, §§ 121 ff.). Eine allfällige Suizidalität stellt gemäss Rechtsprechung nicht per se ein Vollzugshindernis dar (vgl. Urteil des BGer 2C_221/2020 vom 19. Juni 2020 E. 2 sowie statt vieler Urteil des BVGer F-4894/2025 vom 15. Juli 2025 E. 7.3 m.w.H.). Die Geltendmachung eines Suizidrisikos verpflichtet die Behörden nicht grundsätzlich, von einer Ausschaffung abzusehen (Entscheid des EGMR Al-Zawatia gegen Schweden vom 22. Juni 2010, 50068/08, § 57 f.). Der Beschwerdeführer substantiiert seine Vorbringen nicht und reicht auch keine Belege hierfür ein. Anlässlich des Dublin-Gesprächs vom 10. Juli 2025 distanzierte er sich klar von Suizidabsichten (SEM-Akten act. 18 S. 2). Den medizinischen Unterlagen in den Akten lassen sich keine gravierenden gesundheitlichen Probleme entnehmen (SEM-Akten act. 23). Es bestehen somit keine Hinweise, wonach der Gesundheitszustand des Beschwerdeführers einer Überstellung nach Schweden entgegenstehen könnte.</w:t>
      </w:r>
    </w:p>
    <w:p>
      <w:r>
        <w:rPr>
          <w:b/>
        </w:rPr>
        <w:t>E. 4</w:t>
      </w:r>
    </w:p>
    <w:p>
      <w:r>
        <w:t>Die Beschwerde ist abzuweisen. Mit dem vorliegenden Urteil fällt der am 29. Juli 2025 angeordnete superprovisorische Vollzugsstopp dahin.</w:t>
      </w:r>
    </w:p>
    <w:p>
      <w:r>
        <w:rPr>
          <w:b/>
        </w:rPr>
        <w:t>E. 5</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