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F-5605/2020 vom 19. September 2022</w:t>
      </w:r>
    </w:p>
    <w:p>
      <w:r>
        <w:t>Bundesverwaltungsgericht, 2022-09-19, FR</w:t>
      </w:r>
    </w:p>
    <w:p>
      <w:r>
        <w:rPr>
          <w:b/>
        </w:rPr>
        <w:t xml:space="preserve">Quelle: </w:t>
      </w:r>
      <w:r>
        <w:t>https://mcp.opencaselaw.ch/entscheid/bvger_F-5605_2020</w:t>
      </w:r>
    </w:p>
    <w:p>
      <w:r>
        <w:t>FR: TAF F-5605/2020 du 19 septembre 2022</w:t>
      </w:r>
    </w:p>
    <w:p>
      <w:r>
        <w:t>IT: TAF F-5605/2020 del 19 settembre 2022</w:t>
      </w:r>
    </w:p>
    <w:p>
      <w:pPr>
        <w:pStyle w:val="Heading2"/>
      </w:pPr>
      <w:r>
        <w:t>Regeste</w:t>
      </w:r>
    </w:p>
    <w:p>
      <w:r>
        <w:t>Assistance administrative</w:t>
      </w:r>
    </w:p>
    <w:p>
      <w:pPr>
        <w:pStyle w:val="Heading2"/>
      </w:pPr>
      <w:r>
        <w:t>Erwägungen</w:t>
      </w:r>
    </w:p>
    <w:p>
      <w:r>
        <w:rPr>
          <w:b/>
        </w:rPr>
        <w:t>E. 7.1.1</w:t>
      </w:r>
    </w:p>
    <w:p>
      <w:r>
        <w:t>Pour ce qui est des conditions de fond, la recourante invoque en premier lieu une violation de l'art. 28 CDI CH-FR et de l'art. 7 LAAF. Elle relève que la décision querellée procède à une mauvaise interprétation des faits lorsqu'elle arrive à la conclusion que la demande du 11 mai 2016 fait état d'un soupçon suffisant quant aux agissements contraires au droit fiscal des personnes derrière les listes B et C et que les informations requises satisfont à la condition de la pertinence vraisemblable. Selon elle, il était erroné de retenir qu'il était statistiquement très probable qu'une grande majorité des personnes figurant sur la liste A eussent enfreint leurs obligations fiscales en France, alors qu'il s'était avéré que seule la moitié du tiers des comptes concernés n'avaient pas été déclarés. En outre, contrairement à ce qu'avait retenu l'AFC dans ses décisions, il ne ressortait pas de la demande de l'autorité requérante que les trois listes (A, B et C) avaient été trouvées ensemble. Il était ainsi injustifié de retenir sur cette base que la grande majorité des personnes liées aux 45'161 comptes figurant sur les listes B et C, dont on ignorait par ailleurs si elles avaient été trouvées dans la même succursale, avaient vraisemblablement contrevenu à leurs obligations fiscales. Il n'était ainsi pas démontré à satisfaction de droit qu'il y avait des motifs suffisants de considérer que ces personnes avaient violé leurs obligations fiscales envers la France.</w:t>
      </w:r>
    </w:p>
    <w:p>
      <w:r>
        <w:rPr>
          <w:b/>
        </w:rPr>
        <w:t>E. 7.1.2</w:t>
      </w:r>
    </w:p>
    <w:p>
      <w:r>
        <w:t>En l'occurrence, dans l'ATF 146 II 150, le Tribunal fédéral a jugé d'une manière qui lie la Cour de céans (ci-avant consid. 2.3)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6.2 supra) - répondait aux trois critères développés par la jurisprudence en lien avec les demandes groupées, applicables par analogie aux « demandes collectives », permettant d'exclure l'existence d'une fishing expedition (ci-avant consid. 4.6.2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On notera que l'un de ces éléments était, comme l'a constaté le Tribunal fédéral dans son arrêt de principe, le suivant : « - Die Listen B et C standen in einer Verbindung mit der Liste A, wurden diese Listen doch allesamt bei denselben Hausdurchsuchungen im gleichen Zusammenhang gefunden » (cf. ATF 146 II 150 consid. 6.2.5). Or, la recourante n'apporte pas à l'appui de ses recours d'éléments concrets susceptibles de remettre en cause ce constat, de sorte que le Tribunal ne saurait s'en écarter. Dès lors que la Cour de céans est tenue de se fonder sur les considérants de l'arrêt de principe du Tribunal fédéral et ne peut s'écarter, sans raisons valables, de l'argumentation juridique de la Haute Cour, il y a lieu de conclure que les arguments invoqués par la recourante ne permettent pas de conclure que la demande litigieuse constituerait une fishing expedition et violerait le principe de la pertinence vraisemblable.</w:t>
      </w:r>
    </w:p>
    <w:p>
      <w:r>
        <w:rPr>
          <w:b/>
        </w:rPr>
        <w:t>E. 7.1.3</w:t>
      </w:r>
    </w:p>
    <w:p>
      <w:r>
        <w:t>En lien avec l'interdiction d'une pêche aux renseignements, la recourante reproche également à l'AFC d'avoir décidé de transmettre à l'autorité requérante les soldes de son compte au 1er janvier 2013, au 1er janvier 2014 et au 1er janvier 2015, alors qu'elle était résidente fiscale suisse depuis 2013. Elle relève également que l'AFC n'aurait pas dû entrer en matière sur la demande d'assistance de l'autorité française du 11 mai 2016, au motif que cette autorité ne pouvait être sûre que, sur les 40'000 comptes pour lesquels elle avait requis des renseignements, toutes les personnes concernées fussent pour la période concernée résidentes fiscales françaises. La demande d'assistance aurait dû préciser que pour les personnes non résidentes fiscales françaises, la communication des informations bancaires pouvait être limitée aux seuls flux de source française.</w:t>
      </w:r>
    </w:p>
    <w:p>
      <w:r>
        <w:rPr>
          <w:b/>
        </w:rPr>
        <w:t>E. 7.1.4</w:t>
      </w:r>
    </w:p>
    <w:p>
      <w:r>
        <w:t>A ce titre, on relèvera que le Tribunal de céans a déjà eu l'occasion de juger que les codes de domicile français figurant sur les listes B et C constituaient des critères d'assujettissement suffisants pour considérer que les personnes derrière ces listes étaient susceptibles d'être assujetties en France durant la période sous contrôle (cf. arrêt du TAF A-1562/2018 du 3 août 2020 consid. 4.2), ce qui excluait toute pêche aux informations prohibée.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une partie de la période sous contrôle - soit en l'occurrence la Suisse pour les années 2013 à 2015 - n'a pas à être examinée par la Cour de céans. Le Tribunal fédéral n'ayant par ailleurs pas remis en cause, comme il a été exposé ci-dessus, l'admissibilité de la demande d'assistance administrative du 11 mai 2016 sous l'angle de la pertinence vraisemblable des renseignements requis, il ne peut être reproché à l'AFC d'être entrée en matière sur celle-ci. Dès lors que la demande d'assistance administrative de la France vise justement à identifier les titulaires des comptes contenus dans les listes B et C avec indication d'un code de domicile français et à vérifier si ces personnes ont respecté leurs obligations fiscales envers la France, il y a lieu d'admettre que l'autorité française pouvait se satisfaire de requérir les renseignements nécessaires à l'identification de ces personnes, tels qu'ils sont formulés dans la demande du 11 mai 2016 (cf. demande d'assistance du 11 mai 2016, p. 4 ; voir aussi let. A.c supra). La précision requise par la recourante n'est, à ce titre, pas justifiée dès lors qu'elle requerrait de l'AFC qu'elle détermine si la personne concernée est ou non résidente fiscale française pour limiter, le cas échéant, la communication « aux seuls flux de source française », compétence qui revient aux autorités fiscales françaises.</w:t>
      </w:r>
    </w:p>
    <w:p>
      <w:r>
        <w:rPr>
          <w:b/>
        </w:rPr>
        <w:t>E. 7.1.5</w:t>
      </w:r>
    </w:p>
    <w:p>
      <w:r>
        <w:t>La recourante considère également que la décision finale de l'AFC liée à la procédure avec le numéro de référence 631.1-2016-FR-0001-xxx-xxxxx viole l'art. 28 CDI CH-FR en tant qu'elle prévoit de transmettre les prénoms, nom et dernière adresse de B._______, son époux défunt. Elle relève que ce dernier est décédé en avril 2009 et avait été sujet fiscal français jusqu'à cette date. En tant que la taxation française de 2009 ne pouvait, à ce jour, plus être reprise, les informations concernant son époux défunt n'étaient, selon elle, pas de nature à garantir que les obligations fiscales fussent remplies. Elle relève aussi que le nom de son mari défunt n'aurait pas dû apparaître sur les comptes objets de la demande d'assistance administrative à compter de l'année de son décès. Si la banque X._______ avait fait les modifications nécessaires, la question d'une éventuelle communication des informations relatives à son époux défunt ne se serait pas posée et n'aurait dû, selon elle, pas se poser. En résumé, la recourante considère que ces informations ne sont pas vraisemblablement pertinentes et qu'elles ne doivent pas être transmises à la France. En lien avec cette question, la recourante considère également que l'art. 18a LAAF ne trouve pas application en l'espèce, dès lors que la demande d'assistance administrative date du 11 mai 2016, soit avant l'entrée en vigueur de cette disposition. Elle en conclut que l'AFC n'était pas fondée à exécuter l'assistance administrative sur la base de l'art. 18a LAAF et à communiquer les informations concernant son époux défunt.</w:t>
      </w:r>
    </w:p>
    <w:p>
      <w:r>
        <w:rPr>
          <w:b/>
        </w:rPr>
        <w:t>E. 7.1.6</w:t>
      </w:r>
    </w:p>
    <w:p>
      <w:r>
        <w:t>En ce qui concerne la pertinence vraisemblable des informations relatives à l'époux défunt, le Tribunal relève qu'au stade de l'assistance administrative, l'autorité requise peut se satisfaire de vérifier s'il existe une possibilité raisonnable que les renseignements demandés par l'autorité requérante se révéleront pertinents ; le fait que l'information demandée s'avère finalement non pertinente n'est en revanche pas important (cf. consid. 4.4 supra). Ainsi, la circonstance qu'une éventuelle reprise de la taxation fiscale de 2009 ne soit plus possible en raison de la péremption du droit de reprise de l'administration fiscale française après dix ans n'est pas décisive pour les autorités suisses requises au stade de l'assistance administrative. Il s'agit en effet d'une question matérielle dont l'examen reviendra aux autorités compétentes françaises. Contrairement à ce que pense la recourante, les prénoms, nom et dernière adresse de son époux défunt, qui apparaît comme « main account holder » dans les extraits de compte fournis par [la banque X._______] pour la période requise, sont ainsi vraisemblablement pertinents pour que les autorités fiscales françaises puissent effectuer leur contrôle. S'agissant du caractère prétendument erroné ou inexact des informations fournies par [la banque X._______], le Tribunal considère qu'il ne dispose pas de raisons et d'éléments suffisants pour remettre en cause leur validité et procéder lui-même à leur correction, soit en particulier s'agissant de la circonstance que le nom de l'époux défunt de l'intéressée apparaisse encore sous la mention « main account holder » au 1er janvier 2010, alors qu'il était déjà décédé en avril 2009. On rappellera ici que la procédure d'assistance fiscale internationale n'a pas pour but de trancher matériellement une question juridique. Bien au contraire, si l'AFC ou le Tribunal examinait ou clarifiait cette question, il préjugerait de la procédure au fond, ce qui serait incompatible avec ce but. Partant, il n'appartient pas à la Cour de céans de se prononcer sur la validité juridique de l'indication selon laquelle B._______ était encore mentionné comme titulaire d'un compte bancaire alors qu'il était déjà décédé. En tout état de cause, la recourante conserve la possibilité de s'adresser directement aux autorités françaises pour leur apporter les éclaircissements qu'elle jugerait nécessaires sur les données transmises par [la banque X._______]. Enfin, il y a lieu de rappeler (cf., aussi, consid. 3.2 supra) que le Tribunal de céans a déjà précisé que l'art. 18a LAAF était de nature procédurale et donc d'application directe. Contrairement à ce que pense l'intéressée, cette disposition trouve bien application en l'espèce, dès lors que la décision finale de l'AFC rendue à son encontre date du 9 octobre 2020, soit postérieurement à l'entrée en vigueur de cette disposition. Sous cet angle également, l'AFC n'a pas violé le droit fédéral en décidant de transmettre à l'autorité requérante les données relatives à l'époux décédé, qui apparaît en tant que « main account holder » sur les extraits de compte produits par [la banque X._______]. Un caviardage de ces données ne se justifie dès lors pas.</w:t>
      </w:r>
    </w:p>
    <w:p>
      <w:r>
        <w:rPr>
          <w:b/>
        </w:rPr>
        <w:t>E. 7.1.7</w:t>
      </w:r>
    </w:p>
    <w:p>
      <w:r>
        <w:t>Au vu de ce qui précède, le grief tiré de la violation du principe de la pertinence vraisemblable doit être par conséquent écarté. Les conclusions subsidiaires de la recourante tendant à la modification des chiffres 1 et 2 du dispositif des décisions finales de l'AFC du 9 octobre 2020 (dans le sens notamment d'un caviardage de certaines informations) sont par conséquent écartées.</w:t>
      </w:r>
    </w:p>
    <w:p>
      <w:r>
        <w:rPr>
          <w:b/>
        </w:rPr>
        <w:t>E. 7.2.1</w:t>
      </w:r>
    </w:p>
    <w:p>
      <w:r>
        <w:t>La recourante reproche aussi à l'AFC une violation de l'Accord 2014 (cf. consid. A.c supra) en tant qu'elle avait décidé de transmettre à l'autorité française les prénoms, nom et dernière adresse de son époux défunt, alors que ce dernier était décédé à une date antérieure à l'applicabilité de l'art. 2 par. 2 de cet accord. Son époux n'était, en effet, plus titulaire d'un compte bancaire mentionné par l'autorité requérante le 1er janvier 2010.</w:t>
      </w:r>
    </w:p>
    <w:p>
      <w:r>
        <w:rPr>
          <w:b/>
        </w:rPr>
        <w:t>E. 7.2.2</w:t>
      </w:r>
    </w:p>
    <w:p>
      <w:r>
        <w:t>A ce titre, le Tribunal constate qu'il ressort des extraits produits par la banque X._______ que le nom de l'époux décédé apparaît toujours en lien avec les comptes objets de la requête d'assistance administrative du 11 mai 2016 pour la période concernée (2010 à 2015). Comme la Cour l'a retenu, ci-avant (consid. 7.1.6), la question de la titularité juridique du compte bancaire faisant l'objet de la transmission n'a pas à être tranchée matériellement au stade de la procédure d'assistance. Il suffit de constater que ce sont-là les informations transmises par leur détentrice et que de savoir si elles auraient dû être mises à jour après le décès du co-titulaire du compte n'a pas à être résolue dans le cadre de l'assistance internationale. Le Tribunal ne distingue donc pas de violation de l'art. 2 par. 2 de l'Accord 2014.</w:t>
      </w:r>
    </w:p>
    <w:p>
      <w:r>
        <w:rPr>
          <w:b/>
        </w:rPr>
        <w:t>E. 7.3.1</w:t>
      </w:r>
    </w:p>
    <w:p>
      <w:r>
        <w:t>La recourante invoque enfin une violation du principe de la bonne foi. Elle relève que les données-clients des listes B et C constituent des données sensibles relatives à des relations bancaires entre une banque suisse et ses clients. Ces données n'avaient ainsi aucune raison de se trouver dans les succursales allemandes de la banque X._______. Il était ainsi manifeste que ces données sensibles s'étaient retrouvées en Allemagne par le biais d'actes punissables en Suisse. Elle relève également que l'autorité requérante sollicitait des données pour une période temporelle contraire à l'engagement pris par la France dans le cadre de l'Accord du 25 juin 2014.</w:t>
      </w:r>
    </w:p>
    <w:p>
      <w:r>
        <w:rPr>
          <w:b/>
        </w:rPr>
        <w:t>E. 7.3.2</w:t>
      </w:r>
    </w:p>
    <w:p>
      <w:r>
        <w:t>A ce titre, le Tribunal relève tout d'abord que le Tribunal fédéral a examiné en détail, dans son ATF 146 II 150, la question de l'application de l'Accord du 25 juin 2014 (ATF 146 II 150 consid. 5.3 et 5.6). Il a considéré, en substance, qu'il y avait lieu d'accorder l'entraide administrative aux demandes collectives, conformément à la CDI CH-FR, dès le 1er janvier 2010, lorsque les personnes concernées étaient identifiées d'une autre manière que par leurs noms et leur adresse (cf. ATF 146 II 150 consid. 5.3 et 5.6), ce qui est le cas de la demande d'assistance administrative du 11 mai 2016 (cf. consid. 6.2 supra). Pour le surplus, il peut être renvoyé au résumé détaillé des considérations de la Haute Cour contenu au considérant 4.2 ci-dessus. La France n'a donc pas violé son engagement dans le cadre de l'Accord du 25 juin 2014.</w:t>
      </w:r>
    </w:p>
    <w:p>
      <w:r>
        <w:rPr>
          <w:b/>
        </w:rPr>
        <w:t>E. 7.3.3</w:t>
      </w:r>
    </w:p>
    <w:p>
      <w:r>
        <w:t>On rappellera également que le Tribunal de céans a déjà eu l'occasion de juger qu'il n'existait pas de lien de causalité suffisamment étroit entre la vente de données au Land allemand de Rhénanie du Nord-Westphalie et la demande du 11 mai 2016 de l'autorité requérante puisque la chaîne de causalité avait été rompue par des facteurs externes, tels que les investigations ultérieures menées par les autorités allemandes. De surcroît,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arrêts du TAF A-1534/2018, A-1555/2018, A-1562/2018 et A-1563/2018 précités consid. 3.6 ; consid. A.b supra).</w:t>
      </w:r>
    </w:p>
    <w:p>
      <w:r>
        <w:rPr>
          <w:b/>
        </w:rPr>
        <w:t>E. 7.3.4</w:t>
      </w:r>
    </w:p>
    <w:p>
      <w:r>
        <w:t>Le grief tiré de la violation du principe de la bonne foi est partant rejeté.</w:t>
      </w:r>
    </w:p>
    <w:p>
      <w:r>
        <w:rPr>
          <w:b/>
        </w:rPr>
        <w:t>E. 8.1</w:t>
      </w:r>
    </w:p>
    <w:p>
      <w:r>
        <w:t>Vu les considérants qui précèdent, les recours sont rejetés.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de Fr. 10'000.- déjà versée avant la jonction des procédures F-5605/2020 et F-5607/2020 (2 x Fr. 5'000.-). Le solde de Fr. 5'000.- lui sera restitué, à parts égales de Fr. 2'500.- pour chacune des procédures précitées, une fois le présent jugement entré en force.</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