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F-5599/2022 vom 15. Dezember 2022</w:t>
      </w:r>
    </w:p>
    <w:p>
      <w:r>
        <w:t>Bundesverwaltungsgericht, 2022-12-15, FR</w:t>
      </w:r>
    </w:p>
    <w:p>
      <w:r>
        <w:rPr>
          <w:b/>
        </w:rPr>
        <w:t xml:space="preserve">Quelle: </w:t>
      </w:r>
      <w:r>
        <w:t>https://mcp.opencaselaw.ch/entscheid/bvger_F-5599_2022</w:t>
      </w:r>
    </w:p>
    <w:p>
      <w:r>
        <w:t>FR: TAF F-5599/2022 du 15 décembre 2022</w:t>
      </w:r>
    </w:p>
    <w:p>
      <w:r>
        <w:t>IT: TAF F-5599/2022 del 15 dicembre 2022</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1.3</w:t>
      </w:r>
    </w:p>
    <w:p>
      <w:r>
        <w:t>L'intéressée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son mémoire de recours du 1er décembre 2022, l'intéressée s'est notamment prévalue d'une violation de la maxime inquisitoire, ainsi que d'une violation de son droit d'être entendu, de sorte qu'il convient d'examiner en premier lieu le bien-fondé de ces griefs d'ordre formel (dans le même sens, cf. notamment ATF 138 I 232 consid. 5.1, voir également l'arrêt du TAF F-2210/2019 du 15 mai 2019 consid. 2).</w:t>
      </w:r>
    </w:p>
    <w:p>
      <w:r>
        <w:rPr>
          <w:b/>
        </w:rPr>
        <w:t>E. 3.2</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lorsque toutes les circonstances de fait et les moyens de preuve déterminants pour la décision n'ont pas été pris en compte par l'autorité inférieure (cf. notamment ATAF 2014/2 consid. 5.1 et 2012/21 consid. 5.1).</w:t>
      </w:r>
    </w:p>
    <w:p>
      <w:r>
        <w:rPr>
          <w:b/>
        </w:rPr>
        <w:t>E. 3.3</w:t>
      </w:r>
    </w:p>
    <w:p>
      <w:r>
        <w:t>En l'occurrence, la recourante a reproché au SEM de ne pas avoir examiné plus en détail ses allégations en lien avec son séjour en Türkiye entre novembre 2021 et juin 2022 remettant en question la compétence de la France pour le traitement de sa demande d'asile.</w:t>
      </w:r>
    </w:p>
    <w:p>
      <w:r>
        <w:rPr>
          <w:b/>
        </w:rPr>
        <w:t>E. 3.4</w:t>
      </w:r>
    </w:p>
    <w:p>
      <w:r>
        <w:t>Cela étant, compte tenu des déclarations vagues que la recourante a faites lors de ses auditions par l'autorité inférieure ainsi que de l'absence de valeur probante des moyens de preuve versés au dossier, le Tribunal considère qu'on ne saurait reprocher au SEM de ne pas avoir instruit plus en avant cette question (pour plus de détails à ce sujet cf. le consid. 6 ci-après).</w:t>
      </w:r>
    </w:p>
    <w:p>
      <w:r>
        <w:rPr>
          <w:b/>
        </w:rPr>
        <w:t>E. 3.5</w:t>
      </w:r>
    </w:p>
    <w:p>
      <w:r>
        <w:t>En conséquence, le grief tiré de la violation de la maxime inquisitoire doit être écarté.</w:t>
      </w:r>
    </w:p>
    <w:p>
      <w:r>
        <w:rPr>
          <w:b/>
        </w:rPr>
        <w:t>E. 3.6</w:t>
      </w:r>
    </w:p>
    <w:p>
      <w:r>
        <w:t>Le droit d'être entendu comprend notamment le droit de s'exprimer, le droit de consulter le dossier, le droit de faire administrer des preuves et de participer à leur administration et le droit d'obtenir une décision motivée (art. 29 al. 2 Cst. et 29 ss PA).</w:t>
      </w:r>
    </w:p>
    <w:p>
      <w:r>
        <w:rPr>
          <w:b/>
        </w:rPr>
        <w:t>E. 3.7</w:t>
      </w:r>
    </w:p>
    <w:p>
      <w:r>
        <w:t>Cela étant, au regard de l'absence de valeur probante des moyens de preuve fournis et des éléments contradictoires contenus dans les déclarations vagues de la recourante au sujet de ses voyages, le Tribunal considère que le SEM n'a pas violé le droit d'être entendue de l'intéressée en omettant de l'interpeller une nouvelle fois avant de rendre la décision litigieuse. La motivation de la décision au sujet de l'art. 12 par. 4 doit d'ailleurs être qualifiée de suffisante bien que succincte.</w:t>
      </w:r>
    </w:p>
    <w:p>
      <w:r>
        <w:rPr>
          <w:b/>
        </w:rPr>
        <w:t>E. 4</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4.1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4.3</w:t>
      </w:r>
    </w:p>
    <w:p>
      <w:r>
        <w:t>L'Etat responsable de l'examen d'une demande de protection internationale en vertu du règlement Dublin III est tenu de prendre en charge le ressortissant étranger qui a introduit une demande auprès d'un autre Etat membre (art. 18 par. 1 point a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5.1</w:t>
      </w:r>
    </w:p>
    <w:p>
      <w:r>
        <w:t>Dans le cas particulier, les investigations entreprises par le SEM ont révélé, après consultation du système central d'information sur les visas « CS-VIS », que la recourante a obtenu de la part des autorités françaises compétentes, le 5 novembre 2021, un visa Schengen uniforme (avec entrées multiples) valable jusqu'au 5 février 2022. Le 25 juillet 2022, le SEM a dès lors soumis aux autorités françaises compétentes, dans le délai fixé à l'art. 21 par. 1 du règlement Dublin III, une requête aux fins de prise en charge. Le 23 septembre 2022, soit dans le délai fixé par l'art. 22 par. 1 du règlement Dublin IIII, lesdites autorités ont expressément accepté de prendre l'intéressée en charge.</w:t>
      </w:r>
    </w:p>
    <w:p>
      <w:r>
        <w:rPr>
          <w:b/>
        </w:rPr>
        <w:t>E. 6.1</w:t>
      </w:r>
    </w:p>
    <w:p>
      <w:r>
        <w:t>La recourante conteste la compétence de la France pour le traitement de sa demande d'asile. Elle a exposé à ce sujet qu'elle était certes entrée en France au moyen du visa délivré le 5 novembre 2021, a toutefois précisé qu'elle avait quitté ce pays après quelques jours seulement pour retourner en Türkiye où elle était ensuite restée jusqu'à son départ en direction de la Suisse en juin 2022.</w:t>
      </w:r>
    </w:p>
    <w:p>
      <w:r>
        <w:rPr>
          <w:b/>
        </w:rPr>
        <w:t>E. 6.2</w:t>
      </w:r>
    </w:p>
    <w:p>
      <w:r>
        <w:t>L'art. 12 par. 4 du règlement Dublin III stipule notamment que si le demandeur est titulaire d'un ou de plusieurs visas périmés depuis moins de six mois lui ayant effectivement permis d'entrer sur le territoire d'un État membre, l'Etat membre qui a délivré le visa est responsable de l'examen de la demande de protection internationale aussi longtemps que le demandeur n'a pas quitté le territoire des Etats membres.</w:t>
      </w:r>
    </w:p>
    <w:p>
      <w:r>
        <w:rPr>
          <w:b/>
        </w:rPr>
        <w:t>E. 6.3</w:t>
      </w:r>
    </w:p>
    <w:p>
      <w:r>
        <w:t>Dans le cas particulier, il n'est pas contesté qu'au moment du dépôt de la demande d'asile le 20 juin 2022, l'intéressée était titulaire d'un visa délivré par les autorités françaises et périmé depuis moins de six mois, puisque le visa Schengen était valable jusqu'au 5 février 2022. La recourante a cependant fait valoir qu'elle avait quitté le territoire des Etats-membres après un bref séjour en France en novembre 2021 et avait par la suite séjourné dans son pays d'origine jusqu'à son départ en direction de la Suisse en juin 2022. A l'appui de ses dires, elle a versé au dossier une photo ainsi qu'une vidéo, dans le but de démontrer sa présence en Türkiye à l'occasion de deux manifestations à Istanbul respectivement le 20 mars et le 28 avril 2022. Elle a également produit un article de journal et un document bancaire confirmant un retrait par carte à Istanbul le 4 avril 2022.</w:t>
      </w:r>
    </w:p>
    <w:p>
      <w:r>
        <w:rPr>
          <w:b/>
        </w:rPr>
        <w:t>E. 6.4</w:t>
      </w:r>
    </w:p>
    <w:p>
      <w:r>
        <w:t>Dans la décision litigieuse, le SEM a remis en question l'authenticité et la valeur probante des moyens de preuve fournis, observant par ailleurs qu'elle aurait pu se contenter de présenter son passeport avec les timbres d'entrée et de sortie pour démontrer ses dires, ce qu'elle n'avait cependant pas fait puisqu'elle avait déposé sa demande d'asile en montrant uniquement sa carte d'identité.</w:t>
      </w:r>
    </w:p>
    <w:p>
      <w:r>
        <w:rPr>
          <w:b/>
        </w:rPr>
        <w:t>E. 6.5</w:t>
      </w:r>
    </w:p>
    <w:p>
      <w:r>
        <w:t>Après avoir consulté les moyens de preuve versés au dossier à l'appui des allégations de la recourante, le Tribunal arrive à la conclusion qu'on ne saurait reprocher au SEM de ne pas avoir accordé un poids décisif à ces pièces. Tant sur la photo que dans la vidéo, la recourante porte un masque sanitaire, de sorte qu'il n'est pas possible de déterminer si ces moyens de preuve montrent effectivement la personne de l'intéressée. En outre, les extraits visibles sur les images ne contiennent que très peu d'autres éléments. Partant, il est impossible de vérifier s'il s'agit effectivement d'images prises lors de manifestations se déroulant à Istanbul durant la période alléguée. S'agissant enfin du document bancaire, sa valeur probante doit également être fortement relativisée, puisqu'il ne confirme nullement que la recourante a utilisé personnellement la carte.</w:t>
      </w:r>
    </w:p>
    <w:p>
      <w:r>
        <w:rPr>
          <w:b/>
        </w:rPr>
        <w:t>E. 6.6</w:t>
      </w:r>
    </w:p>
    <w:p>
      <w:r>
        <w:t>Sur un autre plan, il importe de relever que les déclarations de la recourante au sujet de son voyage et de son séjour en France, de son retour en Türkiye et de son voyage en Suisse sont vagues et parfois contradictoires. L'intéressée a ainsi indiqué dans un premier temps que son passeport se trouvait à Istanbul (cf. l'audition du 27 juin 2022 pt. 4.02) pour affirmer plus tard, lors de son entretien du 15 juillet 2022, que son passeport avait été détruit par les passeurs.</w:t>
      </w:r>
    </w:p>
    <w:p>
      <w:r>
        <w:rPr>
          <w:b/>
        </w:rPr>
        <w:t>E. 6.7</w:t>
      </w:r>
    </w:p>
    <w:p>
      <w:r>
        <w:t>Le Tribunal observe par ailleurs que la version des faits présentée par la recourante ne correspond pas à celle relatée par sa soeur. Ainsi, la recourante a déclaré avoir quitté son pays le 15 juin 2022 (cf. le procès-verbal relatif à l'enregistrement de ses données personnelles du 27 juin 2022 pt. 5) et avoir effectué son voyage en direction de la Suisse avec sa soeur (cf. le courrier du 26 août 2022), alors que cette dernière a explicitement affirmé avoir quitté la Türkiye le 4 avril 2022, en précisant que la recourante était partie en Suisse avant elle (cf. le procès-verbal relatif à l'audition de la soeur du 4 octobre 2022 pt. 38 et pt. 96s).</w:t>
      </w:r>
    </w:p>
    <w:p>
      <w:r>
        <w:rPr>
          <w:b/>
        </w:rPr>
        <w:t>E. 6.8</w:t>
      </w:r>
    </w:p>
    <w:p>
      <w:r>
        <w:t>Compte tenu de l'ensemble des éléments qui précèdent, il sied de retenir que la recourante n'a pas démontré ni rendu vraisemblable avoir quitté le territoire des Etats-membres après être entrée en France au bénéfice du visa qui lui avait été délivré par les autorités françaises le 5 novembre 2021. Compte tenu de l'absence d'éléments concrets parlant en faveur d'un départ de l'intéressée de l'Espace Dublin ainsi que des contradictions susmentionnées, il n'est par ailleurs pas nécessaire d'examiner plus en avant cette question.</w:t>
      </w:r>
    </w:p>
    <w:p>
      <w:r>
        <w:rPr>
          <w:b/>
        </w:rPr>
        <w:t>E. 6.9</w:t>
      </w:r>
    </w:p>
    <w:p>
      <w:r>
        <w:t>Partant, c'est à bon droit que le SEM a soumis une demande de prise en charge fondée sur l'art. 12 par. 4 du règlement Dublin III aux autorités françaises lesquelles ont explicitement accepté cette requête. En conséquence, il sied de retenir que la responsabilité de la France pour le traitement de la demande d'asile de l'intéressée est donnée.</w:t>
      </w:r>
    </w:p>
    <w:p>
      <w:r>
        <w:rPr>
          <w:b/>
        </w:rPr>
        <w:t>E. 6.10</w:t>
      </w:r>
    </w:p>
    <w:p>
      <w:r>
        <w:t>A toutes fins utiles, il sied encore de noter qu'on ne saurait reprocher au SEM de ne pas avoir inclus les moyens de preuve produits par la recourante dans la demande de prise en charge adressée aux autorités françaises en date du 25 juillet 2022, dès lors que ces pièces ont été versées au dossier plusieurs semaines plus tard.</w:t>
      </w:r>
    </w:p>
    <w:p>
      <w:r>
        <w:rPr>
          <w:b/>
        </w:rPr>
        <w:t>E. 7</w:t>
      </w:r>
    </w:p>
    <w:p>
      <w:r>
        <w:t>Pour s'opposer à son transfert en France, la recourante a par ailleurs mis en avant sa relation avec sa soeur qui a également déposé une demande d'asile en Suisse. Cela étant, dans la mesure où les deux femmes sont majeures et que l'intéressée n'a pas fait valoir l'existence d'un rapport de dépendance particulier susceptible de remplir les conditions restrictives posées par la jurisprudence à l'application des art. 16 par. 1 du règlement Dublin III et 8 CEDH (cf. notamment ATAF 2017 VI/5 consid. 8.3.3 et 8.3.5 et 8.5.4), la présence de la soeur de l'intéressée en Suisse n'est pas susceptible de s'opposer à son transfert en France.</w:t>
      </w:r>
    </w:p>
    <w:p>
      <w:r>
        <w:rPr>
          <w:b/>
        </w:rPr>
        <w:t>E. 8</w:t>
      </w:r>
    </w:p>
    <w:p>
      <w:r>
        <w:t>En outre, le Tribunal relève qu'il n'y a aucune sérieuse raison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18.12.2000). La France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Dans ces conditions, une application de l'art. 3 par. 2 du règlement Dublin III n'entre pas en ligne de compte ; la recourante ne prétend au demeurant pas le contraire.</w:t>
      </w:r>
    </w:p>
    <w:p>
      <w:r>
        <w:rPr>
          <w:b/>
        </w:rPr>
        <w:t>E. 9</w:t>
      </w:r>
    </w:p>
    <w:p>
      <w:r>
        <w:t>Enfin, les problèmes médicaux diagnostiqués chez la recourante durant son séjour en Suisse ne sont pas d'une gravité de nature à s'opposer à son transfert en France.</w:t>
      </w:r>
    </w:p>
    <w:p>
      <w:r>
        <w:rPr>
          <w:b/>
        </w:rPr>
        <w:t>E. 9.1</w:t>
      </w:r>
    </w:p>
    <w:p>
      <w:r>
        <w:t>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w:t>
      </w:r>
    </w:p>
    <w:p>
      <w:r>
        <w:rPr>
          <w:b/>
        </w:rPr>
        <w:t>E. 9.2</w:t>
      </w:r>
    </w:p>
    <w:p>
      <w:r>
        <w:t>En l'espèce, il ressort des certificats médicaux versés au dossier que l'état de santé habituel de l'intéressée est bon, qu'elle a cependant subi deux malaises avec perte de conscience durant son séjour en Suisse, qu'elle souffre d'un trouble de l'adaptation et d'un épisode dépressif léger et qu'enfin, elle a subi un curetage interrupteur de grossesse en octobre 2022.</w:t>
      </w:r>
    </w:p>
    <w:p>
      <w:r>
        <w:rPr>
          <w:b/>
        </w:rPr>
        <w:t>E. 9.3</w:t>
      </w:r>
    </w:p>
    <w:p>
      <w:r>
        <w:t>Partant, et sans vouloir minimiser les difficultés affectant l'intéressée, force est de constater que ses problèmes de santé ne sont pas à ce point graves ou complexes qu'ils nécessiteraient une prise en charge particulière qui ferait opposition à son transfert en France, pays disposant d'une infrastructure médicale comparable à celle de la Suisse, ni d'ailleurs que la recourante ne serait pas en mesure de voyager. Le dossier ne contient en effet aucun élément permettant de retenir que le transfert de l'intéressée en France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9.4</w:t>
      </w:r>
    </w:p>
    <w:p>
      <w:r>
        <w:t>En tout état de cause, à son retour en France, l'intéressée pourra bénéficier du cadre voulu par la directive Accueil, qui impose à ce pays de garantir aux demandeurs d'asile l'accès aux soins médicaux nécessaires qui comportent, au minimum, les soins urgents et le traitement essentiel des maladies, et fournir l'assistance médicale ou autre nécessaire aux demandeurs ayant des besoins particuliers en matière d'accueil (art. 19 par. 1 et 2 de ladite directive).</w:t>
      </w:r>
    </w:p>
    <w:p>
      <w:r>
        <w:rPr>
          <w:b/>
        </w:rPr>
        <w:t>E. 9.5</w:t>
      </w:r>
    </w:p>
    <w:p>
      <w:r>
        <w:t>En conséquence, l'intéressée ne saurait se prévaloir d'éléments d'ordre médical de nature à constituer un obstacle à son transfert vers la France au regard de l'art. 3 CEDH et à justifier ainsi l'application de la clause discrétionnaire prévue par l'art. 17 par. 1 du règlement Dublin III.</w:t>
      </w:r>
    </w:p>
    <w:p>
      <w:r>
        <w:rPr>
          <w:b/>
        </w:rPr>
        <w:t>E. 9.6</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la recourante de voir sa demande d'asile examinée par la Suisse.</w:t>
      </w:r>
    </w:p>
    <w:p>
      <w:r>
        <w:rPr>
          <w:b/>
        </w:rPr>
        <w:t>E. 10</w:t>
      </w:r>
    </w:p>
    <w:p>
      <w:r>
        <w:t>En conséquence, c'est à bon droit que le SEM n'est pas entré en matière sur la demande d'asile de la recourante, en application de l'art. 31a al. 1 let. b LAsi, et qu'il a prononcé son transfert de Suisse en France, en application de l'art. 44 LAsi, aucune exception à la règle générale du renvoi n'étant réalisée (art. 32 OA 1).</w:t>
      </w:r>
    </w:p>
    <w:p>
      <w:r>
        <w:rPr>
          <w:b/>
        </w:rPr>
        <w:t>E. 11</w:t>
      </w:r>
    </w:p>
    <w:p>
      <w:r>
        <w:t>Partant, le recours est rejeté. S'avérant manifestement infondé, il est rejeté dans une procédure à juge unique, avec l'approbation d'un second juge (art. 111 let. e LAsi) et il est par ailleurs renoncé à un échange d'écritures, le présent arrêt n'étant motivé que sommairement (art. 111a al. 1 et 2 LAsi). Enfin, dans la mesure où il a été immédiatement statué sur le fond, la requête formulée dans le mémoire de recours tendant à l'octroi de l'effet suspensif au recours est devenue sans objet. Vu l'issue de la cause, il y a lieu de mettre les frais de procédure à la charge de la recourante, conformément aux art. 63 al. 1 PA et art. 1 à 3 du règlement du 21 février 2008 concernant les frais, dépens et indemnités fixés par le Tribunal administratif fédéral (FITAF, RS 173.320.2). Dans la mesure où les conclusions du recours se sont avérées d'emblée vouées à l'échec, la recourante ne saurait prétendre à l'octroi de l'assistance judiciaire totale.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