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F-5583/2015 vom 2. November 2017</w:t>
      </w:r>
    </w:p>
    <w:p>
      <w:r>
        <w:t>Bundesverwaltungsgericht, 2017-11-02, DE</w:t>
      </w:r>
    </w:p>
    <w:p>
      <w:r>
        <w:rPr>
          <w:b/>
        </w:rPr>
        <w:t xml:space="preserve">Quelle: </w:t>
      </w:r>
      <w:r>
        <w:t>https://mcp.opencaselaw.ch/entscheid/bvger_F-5583_2015</w:t>
      </w:r>
    </w:p>
    <w:p>
      <w:r>
        <w:t>FR: TAF F-5583/2015 du 2 novembre 2017</w:t>
      </w:r>
    </w:p>
    <w:p>
      <w:r>
        <w:t>IT: TAF F-5583/2015 del 2 novembre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4.2</w:t>
      </w:r>
    </w:p>
    <w:p>
      <w:r>
        <w:t>Die Nichtigerklärung der Einbürgerung hat innerhalb der von Art. 41 Abs. 1bis BüG festgelegten Fristen zu erfolgen. Diese wurden im Falle des Beschwerdeführers eingehalten.</w:t>
      </w:r>
    </w:p>
    <w:p>
      <w:r>
        <w:rPr>
          <w:b/>
        </w:rPr>
        <w:t>E. 5.1</w:t>
      </w:r>
    </w:p>
    <w:p>
      <w:r>
        <w:t>Das Verfahren zur Nichtigerklärung der erleichterten Einbürgerung richtet sich nach den Bestimmungen des Verwaltungsverfahrensgesetzes (vgl. Art. 1 Abs. 1 und Abs. 2 Bst. cbis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140 II 65 E. 2.2 und 135 II 161 E. 3 je m.H.).</w:t>
      </w:r>
    </w:p>
    <w:p>
      <w:r>
        <w:rPr>
          <w:b/>
        </w:rPr>
        <w:t>E. 5.2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6.1</w:t>
      </w:r>
    </w:p>
    <w:p>
      <w:r>
        <w:t>Die Vorinstanz geht von der Vermutung aus, dass der Beschwerdeführer spätestens im Einbürgerungszeitpunkt nicht mehr in einer stabilen und zukunftsgerichteten Ehe mit seiner Schweizer Ehefrau gelebt und sich mit der gegenteiligen Erklärung vom 15. März 2011 die erleichterte Einbürgerung erschlichen habe.</w:t>
      </w:r>
    </w:p>
    <w:p>
      <w:r>
        <w:rPr>
          <w:b/>
        </w:rPr>
        <w:t>E. 6.2</w:t>
      </w:r>
    </w:p>
    <w:p>
      <w:r>
        <w:t>Zu Recht hat der Beschwerdeführer darauf hingewiesen, dass die zwischen der Einbürgerung und der ehelichen Trennung liegende Zeitspanne allein nicht ausreicht, um eine solche Vermutung zu stützen. Dass im vorliegenden Fall ausschliesslich das zeitliche Element zur Vermutung der erschlichenen Einbürgerung geführt hat, kann der Vorinstanz allerdings nicht ernsthaft vorgeworfen werden. Ihre insoweit zugegebenermassen missverständliche Formulierung (Verfügung E. 5) hat sie jedenfalls in den nachfolgenden Erwägungen insoweit richtiggestellt, als sie sowohl auf die zum Aufenthaltsrecht des Beschwerdeführers führenden Ereignisse als auch auf die anschliessenden Entwicklungen in seiner Ehe eingegangen ist.</w:t>
      </w:r>
    </w:p>
    <w:p>
      <w:r>
        <w:rPr>
          <w:b/>
        </w:rPr>
        <w:t>E. 6.3</w:t>
      </w:r>
    </w:p>
    <w:p>
      <w:r>
        <w:t>Dem Akteninhalt ist zu entnehmen, dass der Beschwerdeführer anfangs 2001 in die Schweiz einreiste, erfolglos ein Asylverfahren durchlief, sich vorübergehend in seinem Heimatland Pakistan aufhielt und nach rund anderthalbjähriger Abwesenheit von Italien aus zwecks Heirat wieder in die Schweiz kam (vgl. auch Sachverhalt A und B). Er erhielt aufgrund der am 28. September 2005 geschlossenen Ehe eine Aufenthaltsbewilligung und stellte am 22. Mai 2009 ein Gesuch um erleichterte Einbürgerung. Diese erfolgte mit Verfügung vom 24. März 2011, neun Tage nachdem er und seine Ehefrau unterschriftlich bestätigt hatten, in einer stabilen ehelichen Gemeinschaft zu leben. Die Trennung der Ehegatten erfolgte auf den 1. März bzw. 1. April 2013 (vgl. Sachverhalt D).</w:t>
      </w:r>
    </w:p>
    <w:p>
      <w:r>
        <w:rPr>
          <w:b/>
        </w:rPr>
        <w:t>E. 6.4</w:t>
      </w:r>
    </w:p>
    <w:p>
      <w:r>
        <w:t>Auch wenn die eheliche Trennung rund zwei Jahre nach der erleichterten Einbürgerung erfolgte, so lässt der zeitliche Rahmen der geschilderten Ereignisse durchaus auf eine im Einbürgerungszeitpunkt nicht mehr stabile Ehe schliessen. Ein einschneidendes Erlebnis, welches nach der Einbürgerung zum Scheitern der Ehe hätte führen können, haben die Ex-Ehe-gatten gegenüber der Vorinstanz jedenfalls nicht bezeichnet. Stattdessen habe beide dargelegt, dass finanzielle Probleme und fehlende Gemeinsamkeiten im Laufe der Zeit zur Beendigung des Zusammenlebens geführt hätten.</w:t>
      </w:r>
    </w:p>
    <w:p>
      <w:r>
        <w:rPr>
          <w:b/>
        </w:rPr>
        <w:t>E. 6.4.1</w:t>
      </w:r>
    </w:p>
    <w:p>
      <w:r>
        <w:t>Der Beschwerdeführer erwähnte diesbezüglich die für ihn seit 2008 unverändert gebliebenen Arbeitszeiten, welche bereits vor der Einbürgerung zu Spannungen geführt hätten. Ein grosses Problem sei auch die Vereinnahmung durch seine in Italien lebenden Familienangehörigen gewesen; diese habe er ungefähr ab 2008 auch finanziell unterstützen müssen, womit seine Ehefrau zunächst auch einverstanden gewesen sei. Nachdem die mit der Einbürgerung erhoffte Verbesserung der Lebensbedingungen nicht eingetreten sei, hätten sie sich jedoch zur Trennung bzw. Scheidung entschlossen (zu Vorstehendem: Vorakten S. 113/114).</w:t>
      </w:r>
    </w:p>
    <w:p>
      <w:r>
        <w:rPr>
          <w:b/>
        </w:rPr>
        <w:t>E. 6.4.2</w:t>
      </w:r>
    </w:p>
    <w:p>
      <w:r>
        <w:t>In ihren schriftlichen Stellungnahmen vom 24. November 2014 und 22. Januar 2015 gab B._______ an, die Schwierigkeiten in der Ehe hätten sich nach und nach eingeschlichen; ein genaues Datum dafür könne sie nicht angeben. Eine Paartherapie sei zwar nicht besucht worden, wohl aber hätte sich die Ehegatten immer wieder vorgenommen, mehr miteinander zu unternehmen. Letzteres sei aber an ihren finanziellen Mitteln gescheitert. Die bereits von ihrem Ex-Ehemann geschilderte Inanspruchnahme durch seine Angehörigen bestätigte B._______ mit dem Hinweis darauf, dass ihr eigenes Familienleben darunter gelitten habe; diese Inanspruchnahme sei in den letzten vier Jahren ihrer Ehe vermehrt erfolgt (zu Vorstehendem: Vorakten S. 118 und S. 121).</w:t>
      </w:r>
    </w:p>
    <w:p>
      <w:r>
        <w:rPr>
          <w:b/>
        </w:rPr>
        <w:t>E. 6.5</w:t>
      </w:r>
    </w:p>
    <w:p>
      <w:r>
        <w:t>Nach alledem - d.h. vor dem Hintergrund der Ereignisse im Umfeld von Heirat und Einbürgerung und ihrer zusätzlichen Abklärungen - durfte die Vorinstanz zu Recht vermuten, dass die vom Beschwerdeführer am 15. März 2011 unterschriftlich bestätigte intakte Ehegemeinschaft zu diesem Zeitpunkt nicht mehr bestand.</w:t>
      </w:r>
    </w:p>
    <w:p>
      <w:r>
        <w:rPr>
          <w:b/>
        </w:rPr>
        <w:t>E. 7.1</w:t>
      </w:r>
    </w:p>
    <w:p>
      <w:r>
        <w:t>Damit stellt sich die Frage, ob die vom Beschwerdeführer im Rechtsmittelverfahren vorgebrachten Argumente eine andere Schlussfolgerung erlauben. Insofern müsste der Beschwerdeführer glaubhaft aufzeigen, dass ein erst nach der Einbürgerung eingetretenes, ausserordentliches Ereignis zum Scheitern der Ehe führte, oder aber, dass er die Schwere der ehelichen Probleme nicht erkannte und aufrichtig an den Fortbestand der Ehe glaubte (vgl. E. 5.2).</w:t>
      </w:r>
    </w:p>
    <w:p>
      <w:r>
        <w:rPr>
          <w:b/>
        </w:rPr>
        <w:t>E. 7.2</w:t>
      </w:r>
    </w:p>
    <w:p>
      <w:r>
        <w:t>Dass ein besonderes Vorkommnis seine Ehe scheitern liess, wird vom Beschwerdeführer explizit verneint. Wie bereits im vorinstanzlichen Verfahren macht er auch in seiner Rechtmitteleingabe geltend, dass die Trennung Folge einer steten Entwicklung, im Zeitpunkt der erleichterten Einbürgerung jedoch nicht absehbar gewesen sei. Die von ihm und seiner Ex-Gattin bereits zuvor geschilderten Probleme bestreitet er auch in seiner Beschwerde nicht, versucht sie allerdings dadurch zu relativieren, dass er sie als anfänglich "untergeordnete Belastung", welche innerhalb von 24 Monaten eskaliert sei, bezeichnet. Seine Behauptung, eine derartige Entwicklung finde auch in vielen anderen Ehen statt und sei erst im Nachhinein als definitiv gescheiterte Beziehung erkennbar, führt - da sie den besonderen ausländerrechtlichen Kontext ausser Acht lässt - jedoch nicht weiter.</w:t>
      </w:r>
    </w:p>
    <w:p>
      <w:r>
        <w:rPr>
          <w:b/>
        </w:rPr>
        <w:t>E. 7.2.1</w:t>
      </w:r>
    </w:p>
    <w:p>
      <w:r>
        <w:t>Bei der erleichterten Einbürgerung wird vorausgesetzt, dass der einbürgerungswillige Ehegatte die Beziehung als gefestigt und auf die Zukunft ausgerichtet ansieht. Demzufolge soll er - wie Art. 41 Abs. 1 BüG deutlich macht - nicht in den Genuss des Schweiz Bürgerrechts kommen, wenn er einen in Wirklichkeit fehlenden Ehewillen behauptet oder auch nur Zweifel am Fortbestand der Ehe verschweigt. Die Hoffnung, dass sich eine vom Scheitern bedrohte Ehe nach der Einbürgerung wieder stabilisiert bzw. verbessert, genügt folglich nicht.</w:t>
      </w:r>
    </w:p>
    <w:p>
      <w:r>
        <w:rPr>
          <w:b/>
        </w:rPr>
        <w:t>E. 7.2.2</w:t>
      </w:r>
    </w:p>
    <w:p>
      <w:r>
        <w:t>Für den vorliegenden Fall bedeutet dies, dass der Beschwerdeführer die von der Vorinstanz aufgestellte und mit auf seinen eigenen Angaben basierende Vermutung der erschlichen Einbürgerung nicht entkräften kann. Übereinstimmend mit der Vorinstanz ist festzuhalten, dass die Ehe spätestens im Jahr 2008 aufgrund finanzieller Einschränkungen, fehlender Gemeinsamkeiten, der Schichtarbeit und der Inanspruchnahme des Beschwerdeführers durch seine pakistanischen Familienangehörigen starken Belastungen ausgesetzt war. Angesichts dieser Situation haben beide Ehegatten - wie der Beschwerdeführer ausdrücklich betont hat - ihre Hoffnung in eine mit seinem Schweizer Bürgerrecht einhergehende wirtschaftliche Verbesserung gesetzt und sich nach deren Ausbleiben zur Trennung entschlossen (vgl. Vorakten S. 114). Sein Vorbringen zeigt, dass ihm bereits lange vor der Einbürgerung die Möglichkeit des endgültigen Scheiterns der Ehe vor Augen stand. Dieser Entwicklung haben sich weder er noch seine Ehefrau aktiv entgegengestellt. Der andererseits betonte Umstand ihres langen Zusammenlebens ist vor dem Hintergrund zu sehen, dass die erleichterte Einbürgerung erst aufgrund bestimmter zeitlicher Voraussetzungen (Art. 27 Abs. 1 Bst. a - c BüG) erfolgen kann; ein Indiz für eine über den Einbürgerungzeitpunkt hinausgehende stabile Ehe ist er nicht.</w:t>
      </w:r>
    </w:p>
    <w:p>
      <w:r>
        <w:rPr>
          <w:b/>
        </w:rPr>
        <w:t>E. 7.3</w:t>
      </w:r>
    </w:p>
    <w:p>
      <w:r>
        <w:t>Aufgrund der vorstehenden Erwägungen ist feststellen, dass der Beschwerdeführer nicht plausibel darlegen konnte, warum seine im Einbürgerungszeitpunkt angeblich stabile Ehe 23 bzw. 24 Monaten später unheilbar zerrüttet war und zur endgültigen Trennung führte. Insoweit ist ein ausserordentliches, nach der erleichterten Einbürgerung eingetretenes und zum Scheitern der Ehe führendes Ereignis nicht ersichtlich. Zudem deuten weder die vorinstanzlichen noch die Vorbringen im Rechtsmittelverfahren darauf hin, dass der Beschwerdeführer im zeitlichen Umfeld der Einbürgerung die Schwere der ehelichen Probleme nicht erkannte und überzeugt war, mit seiner Ehepartnerin auch künftig in einer vermeintlich stabilen ehelichen Gemeinschaft zu leben (vgl. E. 5.2).</w:t>
      </w:r>
    </w:p>
    <w:p>
      <w:r>
        <w:rPr>
          <w:b/>
        </w:rPr>
        <w:t>E. 8</w:t>
      </w:r>
    </w:p>
    <w:p>
      <w:r>
        <w:t>Nach alledem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w:t>
      </w:r>
    </w:p>
    <w:p>
      <w:r>
        <w:rPr>
          <w:b/>
        </w:rPr>
        <w:t>E. 9</w:t>
      </w:r>
    </w:p>
    <w:p>
      <w:r>
        <w:t>Die angefochtene Verfügung ist somit als rechtmässig und angemessen zu bestätigen (Art. 49 VwVG) und die Beschwerde demzufolge abzuweisen.</w:t>
      </w:r>
    </w:p>
    <w:p>
      <w:r>
        <w:rPr>
          <w:b/>
        </w:rPr>
        <w:t>E. 10</w:t>
      </w:r>
    </w:p>
    <w:p>
      <w:r>
        <w:t>Angesichts der ihm gewährten unentgeltlichen Rechtspflege sind dem unterliegenden Beschwerdeführer keine Verfahrenskosten aufzuerlegen (vgl. Art. 63 Abs. 1 und Art. 65 Abs. 1 VwVG). Dem amtlichen Vertreter, der mit Honorarnote vom 11. Februar 2016 einen Gesamtbetrag von Fr. 3'482.35 in Rechnung gestellt hat, ist eine Entschädigung für die ihm entstandenen Kosten zuzusprechen (Art. 12 i.V.m. Art. 8-11 des Reglements vom 21. Februar 2008 über die Kosten und Entschädigungen vor dem Bundesverwaltungsgericht [VGKE, SR 173.320.2]). Diese Entschädigung ist unter Berücksichtigung des Umfangs und der Notwendigkeit der Eingaben, der Schwierigkeit der Streitsache in rechtlicher und tatsächlicher Hinsicht sowie der aktenkundigen Bemühungen auf Fr. 2'000.-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