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F-5575/2018 vom 11. März 2019</w:t>
      </w:r>
    </w:p>
    <w:p>
      <w:r>
        <w:t>Bundesverwaltungsgericht, 2019-03-11, DE</w:t>
      </w:r>
    </w:p>
    <w:p>
      <w:r>
        <w:rPr>
          <w:b/>
        </w:rPr>
        <w:t xml:space="preserve">Quelle: </w:t>
      </w:r>
      <w:r>
        <w:t>https://mcp.opencaselaw.ch/entscheid/bvger_F-5575_2018</w:t>
      </w:r>
    </w:p>
    <w:p>
      <w:r>
        <w:t>FR: TAF F-5575/2018 du 11 mars 2019</w:t>
      </w:r>
    </w:p>
    <w:p>
      <w:r>
        <w:t>IT: TAF F-5575/2018 del 11 marzo 2019</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zur Beschwerde legitimiert (Art. 48 Abs. 1 VwVG). Obwohl der fest anberaumte Besuchszeitraum inzwischen abgelaufen ist, muss auf ein fortbestehendes Rechtschutzinteresse geschlossen werden. Dies belegt allein schon die Einreichung des Rechtsmittels. Auf die im Übrigen frist- und formgerecht eingereichte Beschwerde ist einzutreten (Art. 50 und 52 VwVG).</w:t>
      </w:r>
    </w:p>
    <w:p>
      <w:r>
        <w:rPr>
          <w:b/>
        </w:rPr>
        <w:t>E. 1.3</w:t>
      </w:r>
    </w:p>
    <w:p>
      <w:r>
        <w:t>In der vorliegenden Angelegenheit entscheidet das Bundesverwaltungsgericht endgültig (Art. 83 Bst. c Ziff. 1 BGG).</w:t>
      </w:r>
    </w:p>
    <w:p>
      <w:r>
        <w:rPr>
          <w:b/>
        </w:rPr>
        <w:t>E. 2</w:t>
      </w:r>
    </w:p>
    <w:p>
      <w:r>
        <w:t>Am 1. Januar 2019 ist die Teilrevision des Ausländergesetzes vom 16. Dezember 2005 (AuG) abschliessend in Kraft getreten (AS 2018 3171). Dabei wurde der Titel des Gesetzes in "Ausländer- und Integrationsgesetz" (AIG, SR 142.20) umbenannt. Das Gericht verwendet ab diesem Zeitpunkt die neue Bezeichnung, da die im vorliegenden Urteil behandelten wesentlichen Bestimmungen nicht geändert wurden (vgl. Urteil des BVGer F-2068/2018 vom 1. Februar 2019 E. 2).</w:t>
      </w:r>
    </w:p>
    <w:p>
      <w:r>
        <w:rPr>
          <w:b/>
        </w:rPr>
        <w:t>E. 3</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4</w:t>
      </w:r>
    </w:p>
    <w:p>
      <w:r>
        <w:t>Der angefochtenen Verfügung liegt das Gesuch einer eritreischen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soweit zur Anwendung, als die Schengen-Assoziierungsabkommen keine abweichenden Bestimmungen enthalten (vgl. Art. 2 Abs. 2 - 5 AIG).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5.2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AIG, Art. 2 Abs. 1 der Verordnung vom 22. Oktober 2008 über die Einreise und die Visumerteilung [aVEV, SR 142.204] resp. Art. 3 Abs. 1 der neuen Verordnung vom 15. August 2018 über die Einreise und die Visumerteilung [VEV, SR 142.204] i.V.m. Art. 6 Abs. 1 und 2 der Verordnung [EU] Nr. 2016/399 des Europäischen Parlaments und des Rates vom 9. März 2016 über einen Gemeinschaftskodex für das Überschreiten der Grenzen durch Personen [nachfolgend: Schengener Grenzkodex, SGK, ABl. L 77 vom 23.03.2016; kodifizierter Text]).</w:t>
      </w:r>
    </w:p>
    <w:p>
      <w:r>
        <w:rPr>
          <w:b/>
        </w:rPr>
        <w:t>E. 5.3</w:t>
      </w:r>
    </w:p>
    <w:p>
      <w:r>
        <w:t>Im Weiteren müssen Drittstaatsangehörige den Zweck und die Umstände ihres beabsichtigten Aufenthalts belegen und hierfür über ausreichende finanzielle Mittel verfügen (Art. 5 Abs. 1 Bst. b AIG, Art. 2 Abs. 1 aVEV resp. Art. 3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AIG;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AIG, Art. 6 Abs. 1 Bst. d und e SGK).</w:t>
      </w:r>
    </w:p>
    <w:p>
      <w:r>
        <w:rPr>
          <w:b/>
        </w:rPr>
        <w:t>E. 5.4</w:t>
      </w:r>
    </w:p>
    <w:p>
      <w:r>
        <w:t>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 mit Hervorhebung des Zusammenhangs zum Einreiseerfordernis des belegten Aufenthaltszwecks nach Art. 6 Abs. 1 Bst. c SGK).</w:t>
      </w:r>
    </w:p>
    <w:p>
      <w:r>
        <w:rPr>
          <w:b/>
        </w:rPr>
        <w:t>E. 5.5</w:t>
      </w:r>
    </w:p>
    <w:p>
      <w:r>
        <w:t>Sind die vorerwähnten Voraussetzungen (Visum ausgenommen) nicht erfüllt, darf ein für den gesamten Schengen-Raum geltendes "einheitliches Visum" (Art. 2 Ziff. 3 Visakodex) nicht erteilt werden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Staatszugehörigkeit unterliegt die Gesuchstellerin der Visumspflicht.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6.3</w:t>
      </w:r>
    </w:p>
    <w:p>
      <w:r>
        <w:t>Eritrea ist ein in sechs Provinzen aufgeteilter Zentralstaat, dessen Verfassung von 1997 nie in Kraft getreten ist. Alle wesentlichen Entscheidungen werden vom Präsidenten getroffen; eine Gewaltenteilung existiert nicht. Die Justiz ist als Teil des Justizministeriums von diesem abhängig, wobei es Sondergerichte gibt. Die Ausübung von Grundrechten, wie z.B. Rede- und Meinungsfreiheit, Versammlungs- und Religionsfreiheit, ist nicht oder nur sehr eingeschränkt möglich. Zahlreiche Regimekritiker wurden seit 2001 ohne rechtsstaatliches Verfahren verhaftet und sind seit Jahren ohne jeden Kontakt zur Aussenwelt an geheimen Orten inhaftiert. Die innenpolitische, wirtschaftliche und soziale Lage in Eritrea wurde während Jahren in erster Linie durch den ungelösten Grenzkonflikt mit Äthiopien bestimmt. Folgen sind die nach wie vor weitgehende Militarisierung der Gesellschaft und ein Zurückdrängen der Privatwirtschaft durch staatlich gelenkte Wirtschaftsunternehmen. Dementsprechend gehört Eritrea zu den ärmsten Ländern der Welt. Inwieweit sich die Normalisierung der Verhältnisse zwischen Eritrea und Äthiopien und die Aufnahme von diplomatischen Beziehungen im Juli 2018 auswirkt, wird sich zeigen müssen (Quellen: Deutsches Auswärtiges Amt: www.auswaertiges-amt.de &gt; Aussen- und Europapolitik &gt; Länderinformationen &gt; Eritrea &gt; Innenpolitik bzw. Wirtschafts- und Umweltpolitik, Stand: Mai 2018; www.eda.admin.ch &gt; Vertretungen und Reisehinweise &gt; Eritrea &gt; Reisehinweise, Stand: 20. Juli 2018, beide Webseiten besucht im Februar 2019). Von daher erstaunt nicht, dass die eritreische Gemeinschaft in der Schweiz in den letzten Jahren bedeutenden Zuwachs erhalten hat; dies insbesondere durch den markanten Anstieg von Asylsuchenden (Quelle: Philipp Eyer/Régine Schweizer, Die somalische und eritreische Diaspora in der Schweiz, Bundesamt für Migration [Hrsg.], August 2010, S. 29). Gemäss der schweizerischen Asylstatistik stellten Personen aus Eritrea im vergangenen Jahr mit 2'825 Gesuchen nach wie vor die grösste Gruppe von Asylsuchenden, obwohl sich deren Zahl gegenüber den Vorjahren sukzessive verringert hat (2017: 3'375 Gesuche; 2016: 5'178 Gesuche; 2015: 9'966 Gesuche; Quelle: www.sem.admin.ch Publikationen &amp; Services Statistiken Asylstatistik Archiv ab 1994 2015, 2016, 2017 und 2018, besucht im Februar 2019). Zudem können Staatsbürger aus Eritrea - mangels eines Rückübernahmeabkommens - von der Schweiz einstweilen noch nicht in ihren Heimatstaat zurückgeführt werden.</w:t>
      </w:r>
    </w:p>
    <w:p>
      <w:r>
        <w:rPr>
          <w:b/>
        </w:rPr>
        <w:t>E. 6.4</w:t>
      </w:r>
    </w:p>
    <w:p>
      <w:r>
        <w:t>Vor diesem Hintergrund und unter Berücksichtigung, dass die Bereitschaft, das Heimatland zu verlassen, erfahrungsgemäss dort begünstigt wird, wo - wie in casu - bereits Familienangehörige im Ausland leben, ist nicht zu beanstanden, dass die Vorinstanz das Risiko einer nicht fristgerechten Wiederausreise in Bezug auf das Land als solches als grundsätzlich hoch einschätzte. Allerdings wäre es zu schematisch und nicht haltbar, generell und ohne spezifische Anhaltspunkte ausschliesslich aufgrund der allgemeinen Lage sowie der bisherigen Erfahrungen auf eine nicht hinreichend gesicherte Wiederausreise zu schliessen. Es gilt vielmehr, über die Situation im Herkunftsland hinaus die weiteren Umstände zu würdigen. Namentlich familiäre, gesellschaftliche oder berufliche Verpflichtungen können die Prognose für eine anstandslose Wiederausreise begünstigen.</w:t>
      </w:r>
    </w:p>
    <w:p>
      <w:r>
        <w:rPr>
          <w:b/>
        </w:rPr>
        <w:t>E. 6.5</w:t>
      </w:r>
    </w:p>
    <w:p>
      <w:r>
        <w:t>Bei der Gesuchstellerin handelt es sich um eine 52-jährige verwitwete Frau und Mutter eines erwachsenen Sohnes (Beschwerdeführer), welcher mit einer Niederlassungsbewilligung in der Schweiz lebt. Näheres ist über ihre persönlichen und familiären Verhältnisse im Heimatland nicht bekannt. Unter diesen Umständen ist davon auszugehen, dass in dieser Hinsicht keine Verpflichtungen oder gar Abhängigkeiten vorhanden sind, die besondere Gewähr für eine Rückkehr nach Eritrea bieten könnten; dies umso weniger, wenn man in Betracht zieht, dass gleich ein dreimonatiger Besuchsaufenthalt angestrebt wird, was von einiger Ungebundenheit zeugt. Hinzu kommt, dass ein enges Familienmitglied hierzulande ansässig ist, was ihr eine Emigration sicherlich stark erleichtern würde.</w:t>
      </w:r>
    </w:p>
    <w:p>
      <w:r>
        <w:rPr>
          <w:b/>
        </w:rPr>
        <w:t>E. 6.6</w:t>
      </w:r>
    </w:p>
    <w:p>
      <w:r>
        <w:t>Was die wirtschaftlichen Verhältnisse anbelangt, führt der Gastgeber auf Beschwerdeebene aus, seine Mutter generiere Einkünfte aus ihrem Landwirtschaftsbetrieb sowie Mietzinse aus zwei vermieteten Zimmern. Die geltend gemachten Einnahmen werden allerdings weder konkret beziffert noch belegt. Inwiefern besagte Einnahmen zum Lebensunterhalt der Gesuchstellerin beitragen würden, lässt sich den Akten nicht entnehmen. Wohl legte der Beschwerdeführer einen Bankauszug ins Recht, der darin ausgewiesene Saldo von zuletzt 90'600 Nafka (umgerechnet Fr. 5'957.80) bewegte sich in der ausgewiesenen Periode (5. Oktober 2016 bis 20. September 2018) indes stets auf ähnlichem Niveau. Woher die am 5. Oktober 2016 eingegangene, vergleichsweise hohe Gutschrift stammt und was der Grund für die Überweisung war, wird überdies nicht erkennbar. Derartige Vermögenswerte gehen durch Emigration nicht verloren (vgl. BVGE 2014/1 E. 6.3.6 m.H.). Das geltend gemachte Grundeigentum ändert nichts an der Ausgangslage. Wohl besitzt die Gesuchstellerin gemäss einer Eigentumsbestätigung vom 19. September 2018 ein Anwesen im Wert von 2'159'187.96 Nafka (oder Fr. 141'986.70), was für eritreische Verhältnisse ein beachtliches Vermögen darstellte. Allerdings wird der Besitz von landwirtschaftlichem Grundeigentum mit dem fraglichen Beweismittel nicht hinreichend belegt. So ist die sehr rudimentäre Werteinschätzung in dieser Form weder überprüfbar, noch können ihr weitere detaillierte Angaben wie Lage, Grundriss usw. entnommen werden. Zusammenfassend präsentiert sich zumindest die jetzige Aktenlage nicht dergestalt, dass sie das Risiko einer nicht anstandslosen Wiederausreise zu mildern vermöchte.</w:t>
      </w:r>
    </w:p>
    <w:p>
      <w:r>
        <w:rPr>
          <w:b/>
        </w:rPr>
        <w:t>E. 6.7</w:t>
      </w:r>
    </w:p>
    <w:p>
      <w:r>
        <w:t>Zu keinem anderen Ergebnis führt, dass der Beschwerdeführer beteuert, die Gesuchstellerin könne in Eritrea ein komfortables Leben führen und werde nicht emigrieren. Gleiches gilt für die Zusicherung der rechtzeitigen Rückkehr. In seiner Eigenschaft als Gastgeber kann dieser zwar für gewisse finanzielle Risiken im Zusammenhang mit dem Besuchsaufenthalt Garantie leisten, nicht aber - mangels rechtlicher und faktischer Durchsetzbarkeit - für ein bestimmtes Verhalten der eingeladenen Person (vgl. BVGE 2009/27 E. 9 m.H.).</w:t>
      </w:r>
    </w:p>
    <w:p>
      <w:r>
        <w:rPr>
          <w:b/>
        </w:rPr>
        <w:t>E. 6.8</w:t>
      </w:r>
    </w:p>
    <w:p>
      <w:r>
        <w:t>Nach dem Gesagten ist die Schlussfolgerung der Vorinstanz, wonach die Wiederausreise der Gesuchstellerin angesichts der allgemeinen Lage in Eritrea und ihrer individuellen Situation nicht als gesichert angesehen werden könne, nicht zu beanstanden. Mithin fehlt es an einer unabdingbaren Voraussetzung für die Erteilung eines einheitlichen Visums für den gesamten Schengen-Raum. Sodann sind auch keine Gründe für die Ausstellung eines Visums mit räumlich beschränkter Gültigkeit ersichtlich (vgl. E. 5.5). Der an sich verständliche Wunsch des Beschwerdeführers, der Gesuchstellerin zu ermöglichen ihr Enkelkind zu sehen, hat demnach - einstweilen - in den Hintergrund zu treten. Aufgrund der vorgenommenen Beurteilung bleibt es den Betroffenen indessen unbenommen und zumutbar, sich vorderhand im Ausland zu treffen.</w:t>
      </w:r>
    </w:p>
    <w:p>
      <w:r>
        <w:rPr>
          <w:b/>
        </w:rPr>
        <w:t>E. 7</w:t>
      </w:r>
    </w:p>
    <w:p>
      <w:r>
        <w:t>Aus diesen Darlegungen folgt, dass die angefochtene Verfügung im Lichte von Art. 49 VwVG nicht zu beanstanden ist.</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