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F-5574/2015 vom 18. August 2016</w:t>
      </w:r>
    </w:p>
    <w:p>
      <w:r>
        <w:t>Bundesverwaltungsgericht, 2016-08-18, DE</w:t>
      </w:r>
    </w:p>
    <w:p>
      <w:r>
        <w:rPr>
          <w:b/>
        </w:rPr>
        <w:t xml:space="preserve">Quelle: </w:t>
      </w:r>
      <w:r>
        <w:t>https://mcp.opencaselaw.ch/entscheid/bvger_F-5574_2015</w:t>
      </w:r>
    </w:p>
    <w:p>
      <w:r>
        <w:t>FR: TAF F-5574/2015 du 18 août 2016</w:t>
      </w:r>
    </w:p>
    <w:p>
      <w:r>
        <w:t>IT: TAF F-5574/2015 del 18 agosto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Einreiseverbot gestützt auf Art. 67 Abs. 2 AuG kann gegenüber ausländischen Personen verfügt werden, die gegen die öffentliche Sicherheit und Ordnung in der Schweiz oder im Ausland verstossen haben oder diese gefährden (Art. 67 Abs. 2 Bst. a AuG), Sozialhilfekosten verursacht haben (Art. 67 Abs. 2 Bst. b AuG) oder in Vorbereitungs-, Ausschaffungs- oder Durchsetzungshaft genom­men werden mussten (Art. 67 Abs. 2 Bst. c AuG). Das Einreiseverbot wird grundsätzlich für eine Dauer von höchstens fünf Jahren verfügt. Für eine längere Dauer kann es angeordnet werden, wenn die betroffene Person eine schwerwiegende Gefahr für die öffentliche Sicherheit und Ordnung darstellt (Art. 67 Abs. 3 AuG). Aus humanitären oder anderen wichtigen Gründen kann die zuständige Behörde von der Verhängung eines Einreiseverbots absehen oder ein Einreiseverbot vollständig oder vorübergehend aufheben (Art. 67 Abs. 5 AuG).</w:t>
      </w:r>
    </w:p>
    <w:p>
      <w:r>
        <w:rPr>
          <w:b/>
        </w:rPr>
        <w:t>E. 3.2</w:t>
      </w:r>
    </w:p>
    <w:p>
      <w:r>
        <w:t>Das in Art. 67 AuG geregelte Einreiseverbot stellt keine Sanktion dar, sondern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Urteil des BVGer C-5068/2015 vom 26. April 2016 E. 3.2 m.H.).</w:t>
      </w:r>
    </w:p>
    <w:p>
      <w:r>
        <w:rPr>
          <w:b/>
        </w:rPr>
        <w:t>E. 4.1</w:t>
      </w:r>
    </w:p>
    <w:p>
      <w:r>
        <w:t>Zur Begründung ihrer Verfügung stützte sich die Vorinstanz vorerst einzig auf Art. 67 Abs. 2 Bst. c AuG, indem sie ausführte, der Beschwerdeführer habe durch die zuständige Behörde aus der Schweiz weggewiesen und der Vollzug der Wegweisung durch Anordnung der Ausschaffungshaft sichergestellt werden müssen. Aus den Akten ergibt sich diesbezüglich, dass der Beschwerdeführer vom Amt für Migration des Kantons Luzern mit unangefochten gebliebener Verfügung vom 3. August 2015 aus dem Schengen-Raum weggewiesen und zur Sicherstellung des Vollzuges der Wegweisung für die Dauer von zwei Monaten in Ausschaffungshaft versetzt wurde mit der Begründung, aufgrund fehlender gültiger Reisedokumente habe bisher keine Ausreise in den Kosovo organisiert werden können. Damit hat der Beschwerdeführer fraglos den obgenannten Fernhaltegrund gesetzt, was denn auch von ihm nie bestritten wurde.</w:t>
      </w:r>
    </w:p>
    <w:p>
      <w:r>
        <w:rPr>
          <w:b/>
        </w:rPr>
        <w:t>E. 4.2</w:t>
      </w:r>
    </w:p>
    <w:p>
      <w:r>
        <w:t>In ihrer Vernehmlassung vom 23. Dezember 2015 brachte das SEM weitere Argumente für die Verhängung ihrer Fernhaltemassnahme vor. Bei massgeblichem Sachverhalt zum Zeitpunkt der Urteilsfällung (vgl. E. 2 in fine) ist eine derartige Ergänzung im Sinne einer Motivsubstitution grundsätzlich möglich und zulässig (vgl. Urteil des BVGer C 1942/2012 vom 17. März 2014 E. 4.3). So führte die Vorinstanz unter Hinweis auf den Strafbefehl der Staatsanwaltschaft Abteilung 2 Emmen vom 3. August 2015 (vgl. Bst. B des Sachverhalts) ergänzend aus, dass der Beschwerdeführer nicht nur in Ausschaffungshaft versetzt und am 12. August 2015 in seine Heimat ausgeschafft habe werden müssen, sondern auch wegen rechtswidriger Einreise, rechtswidrigen Aufenthaltes sowie Erwerbstätigkeit ohne Bewilligung in der Schweiz gegen die öffentliche Sicherheit und Ordnung im Sinne von Art. 67 Abs. 2 Bst. a AuG verstossen habe. Der Beschwerdeführer, welchem mit Instruktionsverfügung vom 12. Januar 2016 Gelegenheit zur Stellungnahme zur vorinstanzlichen Vernehmlassung eingeräumt wurde, stellt auf Beschwerdeebene den ihm zur Last gelegten Sachverhalt grundsätzlich nicht in Frage. Abgesehen davon wurde besagter Strafbefehl nicht angefochten und erwuchs in Rechtskraft. Bleibt schliesslich festzuhalten,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 wie vom Beschwerdeführer geltend gemacht -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Ein vorsätzlicher Verstoss gegen ausländerrechtliche Be-stimmungen, von dem allerdings der Strafrichter ausging, ist mithin nicht erforderlich (vgl. Urteil des BVGer C-4395/2015 vom 23. Februar 2016 E. 4.4 m.H.).</w:t>
      </w:r>
    </w:p>
    <w:p>
      <w:r>
        <w:rPr>
          <w:b/>
        </w:rPr>
        <w:t>E. 4.3</w:t>
      </w:r>
    </w:p>
    <w:p>
      <w:r>
        <w:t>Zusammenfassend ist somit festzuhalten, dass der Beschwerdeführer hinreichenden Anlass für die Verhängung eines Einreiseverbots gegeben hat (Art. 67 Abs. 2 Bst. a und c AuG).</w:t>
      </w:r>
    </w:p>
    <w:p>
      <w:r>
        <w:rPr>
          <w:b/>
        </w:rPr>
        <w:t>E. 5.1</w:t>
      </w:r>
    </w:p>
    <w:p>
      <w:r>
        <w:t>Es bleibt zu prüfen, ob die Massnahme in richtiger Ausübung des Ermessens ergangen und angemessen ist, was vom Beschwerdeführer in Abrede gestellt wird.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514 ff.).</w:t>
      </w:r>
    </w:p>
    <w:p>
      <w:r>
        <w:rPr>
          <w:b/>
        </w:rPr>
        <w:t>E. 5.2</w:t>
      </w:r>
    </w:p>
    <w:p>
      <w:r>
        <w:t>Der Beschwerdeführer hat - wie festgestellt - wegen rechtswidriger Einreise, rechtswidrigen Aufenthaltes sowie Erwerbstätigkeit ohne Bewilligung in der Schweiz gegen die öffentliche Sicherheit und Ordnung im Sinne von Art. 67 Abs. 2 Bst. a AuG verstossen.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(vgl. dazu Urteil des BGer 2C_948/2011 vom 11. Juli 2012 E. 3.4.2 in fine). Überdies liegt eine spezialpräventive Zielsetzung der Massnahme darin, dass sie den Betroffenen ermahnt, bei einer allfälligen künftigen Wiedereinreise in die Schweiz nach Ablauf der Dauer des Einreiseverbots die für ihn geltenden Regeln einzuhalten (vgl. hierzu Urteil des BVGer C 6993/2014 vom 30. März 2015 E. 5.2 m.H.). Vorliegend besteht somit ein gewichtiges öffentliches Interesse an einer (mehrjährigen) Fernhaltung des Beschwerdeführers. Dies umso mehr, als er - wie unter E. 4.1 erwähnt - noch einen weiteren Fernhaltegrund gesetzt hat (Art. 67 Abs. 2 Bst. c AuG).</w:t>
      </w:r>
    </w:p>
    <w:p>
      <w:r>
        <w:rPr>
          <w:b/>
        </w:rPr>
        <w:t>E. 5.3</w:t>
      </w:r>
    </w:p>
    <w:p>
      <w:r>
        <w:t>Dem öffentlichen Interesse an seiner befristeten Fernhaltung stellt der Beschwerdeführer keine persönlichen Interessen gegenüber, die im Rahmen des vorliegenden Verfahrens berücksichtigt werden könnten. So macht er insbesondere nicht geltend, weiterhin ungehindert in die Schweiz oder das Fürstentum Liechtenstein einreisen zu wollen. Sofern solche Interessen bestehen sollten, bleibt es ihm freigestellt, aus wichtigen Gründen mittels Gesuch die zeitweilige Suspension der angeordneten Fernhaltemassnahme zu beantragen (Art. 67 Abs. 5 AuG), wobei diese aber praxisgemäss nur für eine kurze und klar begrenzte Zeit gewährt wird (vgl. Urteil des BVGer C-1712/2011 vom 12. September 2012 E. 6.3 m.H.).</w:t>
      </w:r>
    </w:p>
    <w:p>
      <w:r>
        <w:rPr>
          <w:b/>
        </w:rPr>
        <w:t>E. 5.4</w:t>
      </w:r>
    </w:p>
    <w:p>
      <w:r>
        <w:t>Aufgrund einer wertenden Gewichtung der sich entgegenstehenden Interessen gelangt das Bundesverwaltungsgericht zum Schluss, dass sich das auf drei Jahre befristete Einreiseverbot unter Berücksichtigung der gängigen Praxis in vergleichbaren Fällen als verhältnismässig und angemessen erweist. Eine Umwandlung der Fernhaltemassnahme in eine Geldstrafe, wie vom Beschwerdeführer beantragt, sieht indes die geltende Gesetzgebung nicht vor.</w:t>
      </w:r>
    </w:p>
    <w:p>
      <w:r>
        <w:rPr>
          <w:b/>
        </w:rPr>
        <w:t>E. 6.1</w:t>
      </w:r>
    </w:p>
    <w:p>
      <w:r>
        <w:t>Die Vorinstanz hat mit der angefochtenen Verfügung ferner die Ausschreibung des Einreiseverbots im SIS II angeordnet. In diesem Zusammenhang macht der Beschwerdeführerin allerdings geltend, seine Ehefrau lebe in der Bundesrepublik Deutschland, wo eine Familienzusammenführung geplant sei.</w:t>
      </w:r>
    </w:p>
    <w:p>
      <w:r>
        <w:rPr>
          <w:b/>
        </w:rPr>
        <w:t>E. 6.2</w:t>
      </w:r>
    </w:p>
    <w:p>
      <w:r>
        <w:t>Der Beschwerdeführer ist nicht Bürger eines Mitgliedstaates der Europäischen Union. Aufgrund der Ausschreibung im SIS ist es ihm untersagt, den Schengen-Raum zu betreten. Der darin liegende Eingriff wird durch die Bedeutung des Falles gerechtfertigt (vgl. Art. 21 i.V.m. Art. 24 SIS-II-VO sowie BVGE 2014/20 E. 8.5 m.H.). Zum einen ist aufgrund des Verhaltens des Betroffenen - wie oben ausgeführt - von einer nicht unbeachtlichen Gefährdung der öffentlichen Sicherheit und Ordnung auszugehen, zum andern hat die Schweiz die Interessen der Gesamtheit aller Schengen-Staaten zu wahren (vgl. BVGE 2011/48 E. 6.1). Wie die Vorinstanz in ihrer Vernehmlassung vom 23. Dezember 2015 festgehalten hat, hindert die Ausschreibung die Bundesrepublik Deutschland jedoch nicht daran, dem Beschwerdeführer im Rahmen des Familiennachzugs eine Aufenthaltsbewilligung zu erteilen und in diesem Zusammenhang über das Konsultationsverfahren nach Art. 25 SDÜ bei den Schweizer Behörden um Löschung der SIS-Ausschreibung zu ersuchen. So soll der Beschwerdeführer gemäss Angaben seiner Rechtsvertreterin denn auch bereits versucht haben, über die deutschen Behörden eine Löschung seiner SIS-Ausschreibung zu erwirken.</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