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F-5570/2016 vom 22. März 2018</w:t>
      </w:r>
    </w:p>
    <w:p>
      <w:r>
        <w:t>Bundesverwaltungsgericht, 2018-03-22, DE</w:t>
      </w:r>
    </w:p>
    <w:p>
      <w:r>
        <w:rPr>
          <w:b/>
        </w:rPr>
        <w:t xml:space="preserve">Quelle: </w:t>
      </w:r>
      <w:r>
        <w:t>https://mcp.opencaselaw.ch/entscheid/bvger_F-5570_2016</w:t>
      </w:r>
    </w:p>
    <w:p>
      <w:r>
        <w:t>FR: TAF F-5570/2016 du 22 mars 2018</w:t>
      </w:r>
    </w:p>
    <w:p>
      <w:r>
        <w:t>IT: TAF F-5570/2016 del 22 marzo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sofern das VGG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3.3.1 Vorab ist auf die Rüge des Beschwerdeführers einzugehen, die Vor-instanz habe mit ihrer Verfügung den Grundsatz des Anspruchs auf rechtliches Gehörs verletzt. Sie habe sich nicht mit seinen Argumenten auseinandergesetzt, sondern standartmässiger Festhaltungen bedient und sich in einfacher Sachverhaltswiederholung geübt sowie mit Textblöcken operiert. Dies sei mit Blick auf den Anspruch des rechtlichen Gehörs unhaltbar, ziehe die Vorinstanz doch aus dieser Einschätzung den Schluss des konkreten und hohen Rückfallrisikos. 3.2 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 3.3 Entgegen der Auffassung des Beschwerdeführers legte die Vorinstanz verständlich dar, weshalb der Beschwerdeführer aus ausländerrechtlicher Sicht als schwerwiegende Gefahr für die öffentliche Sicherheit und Ordnung betrachtet werden muss. Es geht detailliert daraus hervor, aus welchen Gründen sie ein siebenjähriges Einreiseverbot erliess, verwies sie doch explizit auf die vom Beschwerdeführer begangenen Delikte und Verwarnungen und begründete die schwerwiegende Gefährdung der öffentlichen Sicherheit und Ordnung, indem sie auf die grosse kriminelle Energie und die wiederholten Verstösse gegen Rechtsgüter (u.a. Leib und Leben) verwies. Auf Vernehmlassungsstufe nahm die Vorinstanz des Weiteren ergänzend ausführlich zum Rückfallrisiko Stellung. Zu berücksichtigen ist dabei, dass das Einreiseverbot zu den quantitativ häufigsten Anordnungen der schweizerischen Verwaltungspraxis zählt und das SEM als erstinstanzliche Behörde speditiv zu entscheiden hat. An die Begründungsdichte dürfen deshalb keine überspannten Anforderungen gestellt werden (vgl. Urteil des BVGer F-4156/2016 vom 8. Dezember 2017 E. 3.4 m.H.). Es war dem Beschwerdeführer denn auch möglich, sachgerecht und vollständig gegen die vorinstanzliche Verfügung zu argumentieren. Eine Verletzung des Anspruchs auf rechtliches Gehör liegt somit nicht vor.</w:t>
      </w:r>
    </w:p>
    <w:p>
      <w:r>
        <w:rPr>
          <w:b/>
        </w:rPr>
        <w:t>E. 4.1</w:t>
      </w:r>
    </w:p>
    <w:p>
      <w:r>
        <w:t>Landesrechtliche Grundlage der angefochtenen Verfügung vom 10. August 2016 ist Art. 67 AuG, der in den Absätzen 1 und 2 eine Reihe von Tatbeständen aufführt, die ein Einreiseverbot nach sich ziehen können. Gemäss Art. 67 Abs. 2 Bst. a AuG kann das SEM gegen ausländische Personen, die gegen die öffentliche Sicherheit und Ordnung in der Schweiz oder im Ausland verstossen haben oder diese gefährden, ein Einreiseverbot verfügen. Dieses wird - so Art. 67 Abs. 3 erster Satz AuG - für die Dauer von höchstens fünf Jahren verfügt, kann aber für eine längere Dauer angeordnet werden, wenn von der ausländischen Person eine schwerwiegende Gefahr für die öffentliche Sicherheit und Ordnung ausgeht (Art. 67 Abs. 3 zweiter Satz AuG; ferner BVGE 2014/20 E. 5). Schliesslich kann die verfügende Behörde ausnahmsweise aus humanitären oder anderen wichtigen Gründen von der Verhängung eines Einreiseverbots absehen oder ein Einreiseverbot endgültig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aller polizeilicher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Anordnungen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F-91/2017 vom 14. Dezember 2017 E. 3.2 in fine m.H.).</w:t>
      </w:r>
    </w:p>
    <w:p>
      <w:r>
        <w:rPr>
          <w:b/>
        </w:rPr>
        <w:t>E. 4.3</w:t>
      </w:r>
    </w:p>
    <w:p>
      <w:r>
        <w:t>Wird gegen eine Person, welche nicht die Staatsangehörigkeit eines Mitgliedstaates der Europäischen Union oder der Europäischen Freihandelsassoziation besitzt, eine Fernhaltemassnahme verhängt, so wird sie nach Massgabe der Bedeutung des Falles im Schengener Informationssystem (SIS II) zur Einreiseverweigerung ausgeschrieben (vgl. Art. 21 und Art. 24 der SIS-II-Verordnung vom 20. Dezember 2006 sowie Art. 20 - 22 der Verordnung über den nationalen Teil des Schengener Informationssystems (N-SIS) und das SIRENE-Büro (N-SIS-Verordnung vom 8. März 2013 [SR 362.0]). 5.Mit Urteil vom 15. Oktober 2013 verurteilte das Kriminalgericht des Kantons Luzern den Beschwerdeführer wegen Betrugs und mehrfacher Urkundenfälschung zu einer Freiheitsstrafe von 18 Monaten, davon sechs Monate unbedingt, unter Ansetzung einer Probezeit von vier Jahren. Hinzu kommen frühere strafrechtliche Verurteilungen wegen einfacher Körperverletzung, Widerhandlungen gegen das Strassenverkehrsgesetz, Entwendung eines Motorfahrzeugs zum Gebrauch, Raufhandels, mehrfachen Betrugs, versuchten Diebstahls, Diebstahls, mehrfacher Sachbeschädigung, mehrfachen Hausfriedensbruchs, Widerhandlung gegen Umweltschutzvorschriften, Hehlerei und mehrfachen Ungehorsams des Schuldners im Betreibungs- und Konkursverfahren. Damit hat der Beschwerdeführer gegen die öffentliche Sicherheit und Ordnung verstossen bzw. polizeiliche Schutzgüter gefährdet und somit einen Fernhaltegrund im Sinne von Art. 67 Abs. 2 Bst. a AuG gesetzt. 6.6.1 Das angefochtene Einreiseverbot gilt für eine Dauer von sieben Jahren. In einem nächsten Schritt ist deshalb zu prüfen, ob die Voraussetzungen gemäss Art. 67 Abs. 3 zweiter Satz AuG erfüllt sind. 6.2 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Delikts zur besonders schweren Kriminalität mit grenzüberschreitender Dimension ergeben. Zu den letzteren Kriminalbereichen zählen namentlich der Terrorismus, der Menschen- und der Drogenhandel sowie die organisierte Kriminalität. Eine entsprechend qualifizierte Gefährdung kann sich überdies aus einer zunehmend schweren Delinquenz bei Wiederholungstätern mit ungünstiger Legalprognose ergeben. Die zu befürchtenden Delikte müssen einzeln oder in ihrer Gesamtheit das Potential haben, um eine aktuelle und schwerwiegende Gefahr zu begründen (vgl. BGE 139 II 121 E. 6.3; BVGE 2013/4 E. 7.2.4). 6.3 Der Beschwerdeführer hat - entgegen seinen Vorbringen - strafbare Handlungen gegen Leib und Leben (Körperverletzung, Raufhandel) begangen. Eine Störung der öffentlichen Sicherheit und Ordnung durch diese Delikte kann nach dem soeben Gesagten schon allein angesichts der Hochwertigkeit der involvierten Rechtsgüter als Grundlage für die Annahme einer schwerwiegenden Gefahr im Sinne von Art. 67 Abs. 3 zweiter Satz AuG dienen (BGE 139 II 121 E. 6.3 in fine). 6.4 In der in das Urteil des Kriminalgerichts des Kantons Luzern vom 15. Oktober 2013 integrierten Anklageschrift der Staatsanwaltschaft wurde ausgeführt, der Beschwerdeführer habe die Tathandlungen vor Ablauf der von der Staatsanwaltschaft Zürich-Limmat am 10. Juni 2010 angeordneten Probezeit von zwei Jahren vorgenommen. In Anbetracht seines bisherigen Verhaltens könne dem Beschwerdeführer für die Zukunft grundsätzlich keine gute Prognose gestellt werden. In Berücksichtigung sämtlicher Tat- und Täterkomponenten resultiere ein nicht unerhebliches Verschulden (kant.-pag. 461). Das Kriminalgericht hat den Urteilsvorschlag der Staatsanwaltschaft, zu dem die Parteien ihre Zustimmung erklärten, zum Urteil erhoben (vgl. kant.-pag. 457 Ziff. 5). Wie in E. 4 ausgeführt, ist der Beschwerdeführer bereits vor dieser Verurteilung wiederholt (insgesamt zehn Mal) strafrechtlich in Erscheinung getreten, wobei er verschiedenste Rechtsgüter verletzt oder gefährdet hat. Zwischen 1999 und 2010 wurde er insgesamt zu Freiheitsstrafen von rund vier Monaten, Geldstrafen von 210 Tagessätzen und verschiedenen Bussen in der Höhe von Fr. 1'500.- verurteilt. Weder die verhängten Strafen noch die angesetzten Probezeiten haben ihn zu einer Änderung seines Verhaltens bewegen können. Auch die in den Jahren 2004 und 2008 ausgesprochenen ausländerrechtlichen Verwarnungen, die ihm den Widerruf seiner Niederlassungsbewilligung in Aussicht stellten, liessen ihn unbeeindruckt und hielten ihn nicht davon ab, weitere Straftaten zu begehen. Er delinquierte sogar noch schwerer, wurde doch mit der letzten Verurteilung das bis anhin höchste Strafmass von 18 Monaten Freiheitsstrafe gegen den Beschwerdeführer verhängt. Ferner geht auch das Bundesgericht aufgrund der wiederholten Straffälligkeit des Beschwerdeführers davon aus, dass dieser nicht fähig und willens ist, sich an die geltende Rechtsordnung zu halten (vgl. kant.-pag. 679 E. 3.2 in fine). Zu berücksichtigen ist diesbezüglich,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Hieraus ergibt sich ein im Vergleich mit den Straf- und Vollzugsbehörden strengerer Beurteilungsmassstab (vgl. BGE 137 II 233 E. 5.2.2 oder Urteil des BGer 2C_516/2014 vom 24. März 2015 E. 4.3.2 je m.H.). 6.5 Das ausländerrechtliche schwere Verschulden ergibt sich vorliegend aus den strafbare Handlungen gegen Leib und Leben und dem Umstand, dass der Beschwerdeführer zunehmend schwerer delinquiert hat und sich auch von seinen familiären Bindungen nicht von der Begehung weiterer Delikte hat abbringen lassen. Vor diesem Hintergrund ist die vom Beschwerdeführer ausgehende Gefahr für die öffentliche Sicherheit und Ordnung als schwerwiegend im Sinne von Art. 67 Abs. 3 zweiter Satz AuG zu bezeichnen. 6.6 Bei der Frage, wie es sich zum heutigen Zeitpunkt mit der Gefahr der künftigen Störung der öffentlichen Sicherheit und Ordnung verhält, kommt es im Wesentlichen auf das Rückfallrisiko an. Vorausgesetzt wird, dass die Wahrscheinlichkeit der Realisierung hinreichend gross ist. Sie muss signifikant höher sein als diejenige, die der Annahme einer rechtlich relevanten Gefahr im Sinne von Art. 67 Abs. 2 Bst. a AuG zugrunde liegt (vgl. etwa Urteil des BVGer F-7593/2015 vom 24. November 2017 E. 5.3 m.H.). 6.7 Der Beschwerdeführer liess in seiner Rechtsmitteleingabe vom 9. September 2016 geltend machen, er bestreite nicht, dass er in der Vergangenheit fehlerhaftes Verhalten an den Tag gelegt habe, für welches er bestraft worden sei und aus welchem er Lehren gezogen habe. So habe er sich in den letzten Jahren nichts mehr zu Schulden kommen lassen. Im Gegenteil, er habe sich von sämtlichen Freunden getrennt, die einen schlechten Einfluss auf ihn gehabt hätten. Er habe sich vollständig auf seine Ehe und die Arbeit konzentriert sowie Schulden abbezahlt. Seit dem 1. Juni 2013 arbeite er bei der B._______ in C._______ in einem 100 % Pensum und führe dort zur höchsten Zufriedenheit seines Arbeitgebers Malerarbeiten aus. Zudem sei er als Hauswart für drei Liegenschaften in Niederlenz zuständig. Seine Bewährungshilfe stelle ihm ein durchwegs positives Zeugnis aus. Die Auflage der Bewährungshilfe sei denn auch aufgehoben worden. Das Amt für Justizvollzug gehe mit der Aufhebung der Bewährungshilfe somit ebenfalls davon aus, dass von ihm nichts mehr zu befürchten sei und er sich bewährt habe und bewähren werde (vgl. BVGer act. 1 Beilage 6). 6.8 Gemäss konstanter Rechtsprechung des Bundesverwaltungsgerichts kommt dem Wohlverhalten einer Person im Straf- oder Massnahmenvollzug als Basis für die Beurteilung der Rückfallgefahr keine signifikante Aussagekraft zu. Von vorrangiger Bedeutung erscheint stattdessen, wie lange sich eine straffällig gewordene Person nach ihrer Entlassung aus der Haft in Freiheit bewährt (vgl. BVGE 2014/20 E. 5.4 m.H.). Dem Wohlverhalten während einer laufenden Probezeit ist zudem nur untergeordnete Bedeutung beizumessen (Urteil des BGer 2C_191/2014 vom 27. Februar 2014 E. 3.3.2). Der Beschwerdeführer trat am 28. März 2014 den Strafvollzug im Bezirksgefängnis Bremgarten an (Halbgefangenschaft), aus welcher er am 27. September 2014 entlassen wurde (kant.-act. 482). Die vierjährige Probezeit ist am 14. Oktober 2017 abgelaufen, womit sich die seither verstrichene Zeit als zu kurz erweist, als dies an der derzeitigen Risikoeinschätzung etwas zu ändern vermag. Aufgrund dessen kann eine schwerwiegende Gefahr bis auf Weiteres nicht als gebannt betrachtet werden. 6.9 Als Zwischenergebnis ist somit festzustellen, dass zum heutigen Zeitpunkt der qualifizierte Fernhaltegrund einer schwerwiegenden Gefahr für die öffentliche Sicherheit und Ordnung im Sinne von Art. 67 Abs. 3 zweiter Satz AuG vorliegt und ein Einreiseverbot für die Dauer von über fünf Jahren verfügt werden kann. 7.7.1 Den Entscheid darüber, ob ein Einreiseverbot anzuordnen ist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 7.2 Der Beschwerdeführer liess sich weder durch migrationsrechtliche Verwarnungen noch durch die zahlreichen gegen ihn ausgesprochenen Strafen und deren Vollzug beeindrucken. Im Gegenteil, der Beschwerdeführer hat diverse weitere Straftaten begangen (vgl. E. 5), weshalb von ihm eine schwerwiegende Gefahr für die öffentliche Sicherheit und Ordnung ausgeht (vgl. E. 6), und nach wie vor ein grosses öffentliches Fernhalteinteresse gegeben ist.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zu Besuchszwecken nach Ablauf der Dauer des Einreiseverbots keine weiteren Verstösse gegen die öffentliche Sicherheit und Ordnung zu begehen. Als gewichtig zu erachten ist auch das generalpräventiv motivierte Interesse, die öffentliche Sicherheit und Ordnung durch eine konsequente Massnahmenpraxis zu schützen (vgl. BVGE 2014/20 E. 8.2 m.H.). 7.3 Den vorstehenden öffentlichen Interessen stellt der Beschwerdeführer seine privaten Interessen entgegen. Dabei macht er geltend, er verliere durch das Einreiseverbot den vollständigen Kontakt zu seiner Familie weshalb Art. 8 EMRK verletzt sei. Durch den kompletten Wegfall sämtlicher Einnahmequellen werde es ihm faktisch verunmöglicht, seine Familie in der Schweiz zu besuchen. Weiter verliere er die Möglichkeit, bei seinem Arbeitgeber die Arbeit wieder aufnehmen zu können. Ferner sei es seiner Familie und insbesondere seiner Ehefrau nicht zumutbar, mit ihm in die alte Heimat auszureisen. 7.4 Einleitend ist an dieser Stelle hervorzuheben, dass die Ehefrau des Beschwerdeführers mittlerweile aus der Schweiz weggewiesen wurde (vgl. Bst. G und J). Die Frage, ob die über die Verweigerung des Aufenthaltsrechts hinausgehende, durch das Einreiseverbot zusätzlich bewirkte Erschwernis vor Art. 8 Ziff. 1 EMRK und Art. 13 Abs. 1 BV standhält, erübrigt sich somit. Des Weiteren können allfällige Einschränkungen des Privat- und Familienlebens vorliegend aufgrund sachlicher und funktioneller Unzuständigkeit des Bundesverwaltungsgerichts nicht Verfahrensgegenstand sein, soweit sie auf das Fehlen eines dauerhaften Anwesenheitsrechts in der Schweiz zurückzuführen sind. Der Beschwerdeführer musste die Schweiz nach dem Widerruf der Niederlassungsbewilligung verlassen (vgl. zum Ganzen auch BVGE 2013/4 E. 7.4.1 und 7.4.2). 7.5 Dem Beschwerdeführer sind während der Geltungsdauer der Massnahme Besuchsaufenthalte bei ihm nahe stehenden Personen nicht schlichtweg untersagt. Es steht ihm die Möglichkeit offen, aus wichtigen Gründen mittels begründeten Gesuchs die zeitweilige Suspension der angeordneten Fernhaltemassnahme zu beantragen (Art. 67 Abs. 5 AuG). Die Suspension wird praxisgemäss nur für eine kurze und klar begrenzte Zeit gewährt und sie darf das Einreiseverbot nicht aushöhlen (vgl. BVGE 2013/4 E. 7.4.3 m.H.; sowie zur Praxis des SEM den Bericht in Erfüllung des Postulates 12.3002 der SPK-SR vom 22. Mai 2013, Ziff. 2.2.1 und Urteil des BVGer F-7593/2015 vom 24. November 2017 E. 6.6 m.H.). Bei finanziellem Unvermögen des Beschwerdeführers könnten ihn die Familienangehörigen in seinem Heimatland besuchen. Überdies kann er via diverse Kommunikationsmittel (z.B. mit Skype) mit seiner Familie in Kontakt bleiben. 7.6 Ein Einreiseverbot kann bei einer schwerwiegenden Gefahr für fünf bis fünfzehn Jahre ausgesprochen werden (vgl. BVGE 2014/20 E. 7). Eine wertende Gewichtung der gegenläufigen öffentlichen und privaten Interessen führt das Bundesverwaltungsgericht zum Ergebnis, dass das Einreiseverbot von sieben Jahren in Anbetracht der die Fernhaltemassnahme auslösenden Gründe (Delinquenz in einem sensitiven Bereich; zahlreiche Verurteilungen, Probezeit eben erst abgelaufen, Wiederholungsgefahr) zu bestätigen ist. 8.Die Ausschreibung im SIS II erfolgt insbesondere angesichts von abgeurteilten oder zu befürchtenden Straftaten gewisser Schwere (Art. 24 Ziff. 2 Bst. a SIS-II-Verordnung, siehe auch E. 3.4 hiervor), eine Voraussetzung, welche im Falle des Beschwerdeführers erfüllt ist. Die Ausschreibung im SIS II ist somit rechtens. 9.Aus diesen Erwägungen ergibt sich, dass die angefochtene Verfügung im Lichte von Art. 49 VwVG nicht zu beanstanden ist. Die Beschwerde ist da-her abzuweisen. 10.Bei diesem Ausgang des Verfahrens sind die Kosten dem Beschwerdeführer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