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F-5551/2016 vom 13. Februar 2018</w:t>
      </w:r>
    </w:p>
    <w:p>
      <w:r>
        <w:t>Bundesverwaltungsgericht, 2018-02-13, FR</w:t>
      </w:r>
    </w:p>
    <w:p>
      <w:r>
        <w:rPr>
          <w:b/>
        </w:rPr>
        <w:t xml:space="preserve">Quelle: </w:t>
      </w:r>
      <w:r>
        <w:t>https://mcp.opencaselaw.ch/entscheid/bvger_F-5551_2016</w:t>
      </w:r>
    </w:p>
    <w:p>
      <w:r>
        <w:t>FR: TAF F-5551/2016 du 13 février 2018</w:t>
      </w:r>
    </w:p>
    <w:p>
      <w:r>
        <w:t>IT: TAF F-5551/2016 del 13 febbraio 2018</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n° 3.197). Aussi peut-elle admettre ou rejeter le pourvoi pour d'autres motifs que ceux invoqués (cf. notamment l'ATAF 2007/41 consid. 2, et les références citées). Dans son arrêt, elle prend en considération l'état de fait régnant au moment où elle statue (cf. ATAF 2014/1 consid. 2, et jurisprudence citée).</w:t>
      </w:r>
    </w:p>
    <w:p>
      <w:r>
        <w:rPr>
          <w:b/>
        </w:rPr>
        <w:t>E. 3</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 voir également l'ATF 135 II 1 consid. 1.1 ; les ATAF 2014/1 consid. 4.1.1, 2011/48 consid. 4.1, 2009/27 consid. 3, et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w:t>
      </w:r>
    </w:p>
    <w:p>
      <w:r>
        <w:rPr>
          <w:b/>
        </w:rPr>
        <w:t>E. 4.2</w:t>
      </w:r>
    </w:p>
    <w:p>
      <w:r>
        <w:t>S'agissant des conditions d'entrée en Suisse pour un séjour n'excédant pas 90 jours, l'art. 2 al. 1 de l'ordonnance du 22 octobre 2008 sur l'entrée et l'octroi de visas (OEV, RS 142.204), dans sa teneur du 5 avril 2017, entrée en vigueur le 1er mai 2017, renvoie à l'art. 6 du code frontières Schengen (référence complète : Règlement [UE] 2016/399 du Parlement européen et du Conseil du 9 mars 2016 établissant un code communautaire relatif au régime de franchissement des frontières par les personnes [JO L 77 du 23 mars 2016]).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code des visas (référence complète : Règlement (CE) no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4.3</w:t>
      </w:r>
    </w:p>
    <w:p>
      <w:r>
        <w:t>Si les conditions pour l'octroi d'un visa uniforme pour l'Espace Schengen ne sont pas remplies, un Etat membre peut, à titre exceptionnel, délivrer au ressortissant d'un Etat tiers qui ne remplit pas les conditions ordinaires d'entrée,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4.4</w:t>
      </w:r>
    </w:p>
    <w:p>
      <w:r>
        <w:t>Le Règlement (CE) no 539/2001 du Conseil du 15 mars 2001 (JOL 81/1 du 21 mars 2001) différencie, en son art. 1 par. 1 et 2, les ressortissants des Etats tiers selon qu'ils sont soumis ou non à l'obligation du visa. En tant que ressortissant de la RDC, A._______ est soumis à l'obligation du visa.</w:t>
      </w:r>
    </w:p>
    <w:p>
      <w:r>
        <w:rPr>
          <w:b/>
        </w:rPr>
        <w:t>E. 5.1</w:t>
      </w:r>
    </w:p>
    <w:p>
      <w:r>
        <w:t>La délivrance d'un visa "uniforme" - c'est-à-dire valable pour l'ensemble du territoire des Etas membres de l'Espace Schengen (cf. art. 2 ch. 3 du code des visas) - est soumise à la condition que le requérant remplisse les conditions d'entrée et qu'il n'existe aucun motif de refus (cf. art. 21 et 32 du code des visas). Ainsi, le requérant ne doit en particulier pas représenter un risque pour l'ordre public, pour la sécurité intérieure ou pour les relations internationales de l'un des Etats membres (cf. art. 21 ch. 1 et 3 let. d et art. 32 ch. 1 let. a [vi] du code des visas). La procédure de consultation énoncée à l'art. 22 du code des visas constitue précisément l'instrument qui permet aux Etats membres de l'Espace Schengen de faire valoir leurs propres intérêts en matière de sécurité dans le cadre d'une procédure de visa "étrangère". Il sied de noter que l'objection soulevée au cours d'une telle procédure de consultation déploie à l'égard du requérant des effets s'apparentant à un droit de veto. Aussi, indépendamment de son bien-fondé, la simple existence d'une telle objection exclut, ipso facto, la délivrance d'un visa uniforme en faveur de la personne qui le sollicite ("Ungeachtet seiner Berechtigung schliesst die blosse Existenz eines Einwands die Erteilung eines einheitlichen Visums aus"; cf. arrêt du Tribunal administratif fédéral C-4401/2014 du 16 juillet 2015 consid. 5.1 et jurisprudence citée). Seule reste alors la possibilité de délivrer, mais à titre exceptionnel, un visa VTL (sur cette notion, voir art. 2 ch. 4 du code des visas), lorsqu'un Etat membre estime nécessaire, pour des raisons humanitaires, pour des motifs d'intérêts national ou pour honorer des obligations internationales (cf. art. 25 ch. 1 let. a [iii] du code des visas) d'octroyer un tel visa; celui-ci n'est cependant valable en principe que pour le territoire de l'Etat membre qui le délivre (cf. art. 25 ch. 2 du code des visas). Dans ce contexte, il est important de souligner que la législation suisse sur les étrangers se limite à reprendre le contenu du droit Schengen ou à s'y référer.</w:t>
      </w:r>
    </w:p>
    <w:p>
      <w:r>
        <w:rPr>
          <w:b/>
        </w:rPr>
        <w:t>E. 5.2</w:t>
      </w:r>
    </w:p>
    <w:p>
      <w:r>
        <w:t>En l'occurrence, il ressort du dossier que la demande de visa déposée par A._______ auprès de l'Ambassade de Suisse à Kinshasa, en date du 18 juin 2016, a été soumise à consultation au sens indiqué plus haut et qu'elle a fait l'objet d'une objection pour le moins de la part d'un Etat membre de l'Espace Schengen. Dans ces circonstances, comme cela a été exposé plus haut, le résultat de la procédure de consultation exclut la délivrance d'un visa uniforme en faveur du recourant. Il paraît utile de préciser ici que le droit Schengen ne prévoit la communication d'aucune information supplémentaire, tels par exemple que le nom de l'Etat qui a émis l'objection ou les motifs qui sont à la base de l'objection soulevée (cf. art. 32 ch. 1 let. a [vi] du code des visas, en relation avec le ch. 6 du formulaire type pour notifier et motiver le refus d'un visa selon l'annexe VI du code des visas; voir également l'art 54 al. 1 OEV). Au sens de ce qui précède, la décision attaquée du 2 août 2016 est conforme au droit Schengen (cf. également, à ce sujet, la réponse du Conseil fédéral du 14 décembre 2012 à la question [12.1102] posée par le conseiller national Balthasar Glättli le 28 septembre 2012). A ce stade, il y a donc lieu de retenir que l'autorité inférieure, en ne communiquant au recourant aucune pièce relative à la procédure de consultation automatisée des autorités centrales des autres Etats membres de l'Espace Schengen, s'est conformée à la règlementation applicable et n'a commis aucune violation du droit procédural en matière d'information et d'accès aux pièces du dossier. Ainsi, le fait de ne pas divulguer le nom des Etats membres qui se sont opposés à la délivrance du visa Schengen et de ne pas mentionner les motifs matériels fondant une telle opposition pour justifier concrètement une décision de visa négative ne constitue pas une violation du droit procédural en question. A cet égard, peu importe que ces règles de procédure trouvent leur fondement dans le droit national ou dans le droit international public, car l'identité de l'Etat intervenant et la motivation de son objection sont sans incidence sur l'appréciation du litige dans le cas concret ("Eine Verletzung der prozessualen Informations- und Auskunftsrechte des Beschwerdeführers, gleichgültig ob im Landes- oder Völkerrecht verankert, liegt darin nicht begründet, denn die Identität des intervenierenden Staates und die materielle Berechtigung der Einwände dieses Staates sind für die Beurteilung des konkreten Visumsgesuchs ohne rechtliche Relevanz" (cf. à cet égard l'arrêt du Tribunal C-4401/2014 précité, consid. 5.2 et jurisprudence citée).</w:t>
      </w:r>
    </w:p>
    <w:p>
      <w:r>
        <w:rPr>
          <w:b/>
        </w:rPr>
        <w:t>E. 5.3</w:t>
      </w:r>
    </w:p>
    <w:p>
      <w:r>
        <w:t>Le Tribunal relève par ailleurs que le recourant ne remplit pas les conditions d'octroi d'un visa VTL, dès lors que le but de sa venue en Suisse (soit une visite amicale à B._______) ne relève manifestement pas des raisons énoncées à l'art. 25 ch. 1 du code des visas.</w:t>
      </w:r>
    </w:p>
    <w:p>
      <w:r>
        <w:rPr>
          <w:b/>
        </w:rPr>
        <w:t>E. 5.4</w:t>
      </w:r>
    </w:p>
    <w:p>
      <w:r>
        <w:t>En conséquence, le Tribunal est amené à conclure que le SEM a en l'espèce respecté la procédure prévue par les dispositions du code des visas. 6.Il ressort de ce qui précède que, par sa décision du 2 août 2016,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