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F-5551/2015 vom 16. September 2016</w:t>
      </w:r>
    </w:p>
    <w:p>
      <w:r>
        <w:t>Bundesverwaltungsgericht, 2016-09-16, DE</w:t>
      </w:r>
    </w:p>
    <w:p>
      <w:r>
        <w:rPr>
          <w:b/>
        </w:rPr>
        <w:t xml:space="preserve">Quelle: </w:t>
      </w:r>
      <w:r>
        <w:t>https://mcp.opencaselaw.ch/entscheid/bvger_F-5551_2015</w:t>
      </w:r>
    </w:p>
    <w:p>
      <w:r>
        <w:t>FR: TAF F-5551/2015 du 16 septembre 2016</w:t>
      </w:r>
    </w:p>
    <w:p>
      <w:r>
        <w:t>IT: TAF F-5551/2015 del 16 settembre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legitimiert (Art. 48 Abs. 1 VwVG). Auf die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Überschreitungen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1 AuG kann das SEM - unter Vorbehalt von Abs. 5 - ein Einreiseverbot gegenüber weggewiesenen Ausländerinnen und Ausländern verfügen, wenn die Wegweisung nach Art. 64d Abs. 2 Bst. a-c AuG sofort vollstreckt wird (Bst. a) oder diese nicht innerhalb der angesetzten Frist ausgereist sind (Bst. b). Gemäss Art. 67 Abs. 2 AuG kann das SEM weiter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5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welches die Einreise oder die Rückkehr einer unerwünschten Ausländerin oder eines unerwünschten Ausländers verhindern soll, stellt keine Sanktion für vergangenes Fehlverhalten dar, sondern ist eine Massnahme zur Abwendung einer künftigen Störung der öffentlichen Sicherheit und Ordnung (siehe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142.021)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3813). Von daher ist die Anordnung eines Einreiseverbots vom Risiko einer künftigen Gefährdung - anknüpfend an das frühere Verhalten der betroffenen Person - abhängig (vgl. Urteil des BVGer C-1286/2014 vom 10. November 2015 E. 4.3 m.H.), weshalb ein solches Risiko bereits von Gesetzes wegen vermutet wird (vgl. Botschaft, a.a.O., S 3760).</w:t>
      </w:r>
    </w:p>
    <w:p>
      <w:r>
        <w:rPr>
          <w:b/>
        </w:rPr>
        <w:t>E. 4.1</w:t>
      </w:r>
    </w:p>
    <w:p>
      <w:r>
        <w:t>Das Amt für Migration des Kantons Basel-Landschaft verfügte am 18. Dezember 2014 gestützt auf Art. 64 AuG die Wegweisung des Beschwerdeführers aus der Schweiz. Unter Hinweis auf Art. 64d Abs. 1 Satz 1 AuG wurde ihm eine Frist zum Verlassen der Schweiz bis zum 26. Januar 2015 eingeräumt. Gegen diese Wegweisungsverfügung hat der Beschwerdeführer am 21. Januar 2015 beim Regierungsrat des Kantons Basel-Landschaft Beschwerde eingereicht, die am 19. Mai 2015 als gegenstandslos geworden abgeschrieben werden musste, da der Beschwerdeführer die Schweiz in der Zwischenzeit (angeblich am 31. März 2015) verlassen haben soll. Trotzdem zieht dieser Sachverhalt per se eine Fernhaltemassnahme nach sich.</w:t>
      </w:r>
    </w:p>
    <w:p>
      <w:r>
        <w:rPr>
          <w:b/>
        </w:rPr>
        <w:t>E. 4.2</w:t>
      </w:r>
    </w:p>
    <w:p>
      <w:r>
        <w:t>Die Vorinstanz hat das gegen den Beschwerdeführer verhängte Einreiseverbot deshalb einerseits auf die Wegweisungsverfügung als Folge des Bundesgerichtsurteils (Sachverhalt Bst. B) und andererseits aufgrund der zahlreichen von ihm begangenen Delikte begründet. Zweifellos stellen auch die sanktionierten Straftaten Verstösse gegen die öffentliche Ordnung und Sicherheit im Sinne von Art. 67 Abs. 2 Bst. a AuG dar, für die ohne Weiteres ein Einreiseverbot verhängt werden kann. Die in der Rechtsmitteleingabe dargelegte Überzeugung, von ihm gehe künftig keine diesbezügliche Gefahr in der Schweiz (mehr) aus sowie der Einwand, der Beschwerdeführer sei für seine Vergehen bereits strafrechtlich belangt worden (was implizit eine Verletzung des Grundsatzes ne bis in idem nach sich ziehen würde) greifen hier nicht, da die Verhängung eines Einreiseverbots - wie bereits ausgeführt - keine Sanktion für vergangenes Fehlverhalten ist, sondern eine Massnahme zur Abwendung künftiger Störungen der öffentlichen Sicherheit und Ordnung (vgl. E. 3.2). Zudem zeigt das jüngste Ereignis (Verhaftung vom 4. Juli 2016 in A._______), dass der Beschwerdeführer trotz bestehendem Einreiseverbot in die Schweiz eingereist ist und er somit nicht bereit ist, sich an unsere Rechtsordnung und die allgemein geltenden Gepflogenheiten zu halten.</w:t>
      </w:r>
    </w:p>
    <w:p>
      <w:r>
        <w:rPr>
          <w:b/>
        </w:rPr>
        <w:t>E. 4.3</w:t>
      </w:r>
    </w:p>
    <w:p>
      <w:r>
        <w:t>Vor diesem Hintergrund gilt es als erstellt, dass der Beschwerdeführer durch sein bisheriges Verhalten einen hinreichenden Grund für die Verhängung einer Fernhaltemassnahme gesetzt hat.</w:t>
      </w:r>
    </w:p>
    <w:p>
      <w:r>
        <w:rPr>
          <w:b/>
        </w:rPr>
        <w:t>E. 5.1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Wie in E. 4.1 ausgeführt, führt eine Verweigerung der Ausreise trotz rechtskräftiger Wegweisung per se zur Verhängung einer Fernhaltemassnahme (vgl. Art. 11 Abs. 1 Bst. b der Richtlinie 2008/115/EG des Europäischen Parlaments und des Rates vom 16. Dezember 2008 über gemeinsame Normen und Verfahren in den Mitgliedstaaten zur Rückführung illegal aufhältiger Drittstaatangehöriger [Rückführungsrichtlinie, Abl. L 348/98 vom 24. Dezember 2008]). Der Beschwerdeführer ist zudem mehrmals verurteilt worden, einmal gar in einem besonders sensiblen Bereich (Betäubungsmitteldelikt) zu einer bedingten Freiheitsstrafe von 18 Monaten. Es liegt insbesondere ein generalpräventiv motiviertes öffentliches Interesse an der Fernhaltung des Beschwerdeführers vor, dies auch im Sinne einer kontinuierlichen Praxis. Eine spezialpräventive Zielsetzung der Massnahme ist darin zu sehen, dass sie den Betroffenen ermahnt, bei einer allfälligen künftigen Wiedereinreise in die Schweiz nach Ablauf der Dauer des Einreiseverbots die geltenden Regeln einzuhalten. Es besteht somit ein gewichtiges öffentliches Interesse an einer Fernhaltung des Beschwerdeführers.</w:t>
      </w:r>
    </w:p>
    <w:p>
      <w:r>
        <w:rPr>
          <w:b/>
        </w:rPr>
        <w:t>E. 5.3</w:t>
      </w:r>
    </w:p>
    <w:p>
      <w:r>
        <w:t>Den öffentlichen Interessen sind die privaten Interessen des Beschwerdeführers gegenüber zu stellen. Diesbezüglich macht er geltend, dass er während der vergangenen 10 Jahre seinen Lebensmittelpunkt in der Schweiz gehabt habe und hier "diverse persönliche Beziehungen" aufgebaut habe, die er in Zukunft nicht mehr pflegen könne. Um welche konkreten Beziehungen es sich handelt, geht aus den vorliegenden Akten nicht hervor.</w:t>
      </w:r>
    </w:p>
    <w:p>
      <w:r>
        <w:rPr>
          <w:b/>
        </w:rPr>
        <w:t>E. 5.4</w:t>
      </w:r>
    </w:p>
    <w:p>
      <w:r>
        <w:t>Es ist darauf hinzuweisen, dass das Einreiseverbot einen Ehe­schluss in der Schweiz nicht zum vornherein verunmöglicht. In diesem Zusam­men­hang kann auf die in Art. 67 Abs. 5 AuG vorgesehene Möglichkeit verwiesen werden, Fernhaltemassnahmen aus humanitären oder anderen wichtigen Gründen zeitweilig auszusetzen.</w:t>
      </w:r>
    </w:p>
    <w:p>
      <w:r>
        <w:rPr>
          <w:b/>
        </w:rPr>
        <w:t>E. 5.5</w:t>
      </w:r>
    </w:p>
    <w:p>
      <w:r>
        <w:t>Kommt hinzu, dass kein Anspruch auf Eheschliessung an einem bestimmten Ort besteht (vgl. dazu Urteil des BGer 2C_756/2009 vom 15. Dezember 2009 E. 2.3.2 m.H.). Wesent­lich ist, dass eine Ehe überhaupt geschlossen werden kann. In casu wird jedoch weder behauptet noch ist es ersichtlich, dass der Eheschluss ausserhalb der Schweiz nicht möglich wäre. Überdies wurden ausser dem Antrag auf Erteilung eines Visums zu Ehevorbereitungszwecken vom 6. Januar 2016 keine Anhaltspunkte zu bereits unternommenen Schritten in Sachen Eheabschluss geliefert. Nach einer allfälligen Ehe­schlies­sung stünde es dem Beschwerdeführer zudem frei, sich zum Zwecke der Regelung des ehelichen Zusammenlebens an die kantonalen Behörden zu wenden und um eine Aufenthaltsbewilligung in der Schweiz zu ersuchen. Die Erteilung von Aufenthaltsbewilligungen fällt grundsätzlich in die Zuständigkeit der Kantone, wobei im Falle einer Bewilligungserteilung dann in einem weiteren Schritt das bestehende Einreiseverbot durch die Vorinstanz aufgehoben werden kann (vgl. Urteile des BGer 2C_793/2008 vom 27. März 2009 E. 3.2 m.H.; eingehender BGer 2C_473/2008 vom 17. November 2008 E. 2.3).</w:t>
      </w:r>
    </w:p>
    <w:p>
      <w:r>
        <w:rPr>
          <w:b/>
        </w:rPr>
        <w:t>E. 5.6</w:t>
      </w:r>
    </w:p>
    <w:p>
      <w:r>
        <w:t>Diese privaten Interessen vermögen jedoch weder eine Aufhebung noch eine Verkürzung des Einreiseverbots zu rechtfertigen. Dem Beschwerdeführer sind überdies während der Geltungsdauer der Fernhaltemassnahme Besuchsaufenthalte bei ihm nahe stehenden Personen in der Schweiz nicht schlichtweg untersagt; das SEM kann - wie eben in E. 5.4 ausgeführt - die Fernhaltemassnahme auf begründetes Gesuch hin aus humanitären oder anderen wichtigen Gründen befristet suspendieren (vgl. Art. 67 Abs. 5 AuG; BVGE 2013/4 E. 7.4.3 m.H.). Im Übrigen kann der Kontakt zu nahen Personen auch auf andere Weise als durch Besuche in der Schweiz gepflegt werden (z.B. mittels moderner Kommunikationsmittel wie bspw. SMS, WhatsApp oder Skype, Besuche der Freunde im Heimatland oder jetzigen Aufenthaltsstaat).</w:t>
      </w:r>
    </w:p>
    <w:p>
      <w:r>
        <w:rPr>
          <w:b/>
        </w:rPr>
        <w:t>E. 5.7</w:t>
      </w:r>
    </w:p>
    <w:p>
      <w:r>
        <w:t>Eine wertende Gewichtung der sich entgegenstehenden Interessen führt das Bundesverwaltungsgericht zum Schluss, dass das auf drei Jahre befristete Einreiseverbot auch im gegenwärtigen Zeitpunkt unter Berücksichtigung der gängigen Praxis eine verhältnismässige und angemessene Massnahme zum Schutz der öffentlichen Ordnung darstellt.</w:t>
      </w:r>
    </w:p>
    <w:p>
      <w:r>
        <w:rPr>
          <w:b/>
        </w:rPr>
        <w:t>E. 6</w:t>
      </w:r>
    </w:p>
    <w:p>
      <w:r>
        <w:t>Schliesslich bleibt die von der Vorinstanz angeordnete Ausschreibung des Einreiseverbots im SIS zu prüfen:</w:t>
      </w:r>
    </w:p>
    <w:p>
      <w:r>
        <w:rPr>
          <w:b/>
        </w:rPr>
        <w:t>E. 6.1</w:t>
      </w:r>
    </w:p>
    <w:p>
      <w:r>
        <w:t>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der Verordnung [EU] Nr. 2016/399 des Europäischen Parlaments und des Rates vom 9. März 2016 [kodifizierter Text] über einen Gemeinschaftskodex für das Überschreiten der Grenze durch Personen [Schengener Grenzkodex, SGK, ABl. L 77/1 vom 23. März 2016]).</w:t>
      </w:r>
    </w:p>
    <w:p>
      <w:r>
        <w:rPr>
          <w:b/>
        </w:rPr>
        <w:t>E. 6.2</w:t>
      </w:r>
    </w:p>
    <w:p>
      <w:r>
        <w:t>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der Verordnung [EG] Nr. 1987/2006 über die Einrichtung, den Betrieb und die Nutzung des Schengener Informationssystems der zweiten Generation [SIS-II-VO, Abl. L 381/4 vom 28. Dezember 2006]).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die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planen (Art. 24 Ziff. 2 Bst. b SIS-II-VO). Weiter kann eine Ausschreibung eingegeben werden, wenn die Entscheidung nach Ziff. 1 darauf beruht, dass der Drittstaatsangehörige ausgewiesen, zurückgeschoben oder ausgeschafft worden ist (Art. 24 Ziff. 3 erster Teilsatz SIS-II-VO).</w:t>
      </w:r>
    </w:p>
    <w:p>
      <w:r>
        <w:rPr>
          <w:b/>
        </w:rPr>
        <w:t>E. 6.3</w:t>
      </w:r>
    </w:p>
    <w:p>
      <w:r>
        <w:t>Der Beschwerdeführer kann als Drittstaatsangehöriger somit grundsätzlich zur Einreise- bzw. Aufenthaltsverweigerung im SIS ausgeschrieben werden. Der Beschwerdeführer wurde aus der Schweiz ausgewiesen, womit die Voraussetzungen nach Art. 24 Ziff. 3 SIS-II-VO erfüllt sind. Soweit steht einer Ausschreibung im SIS nichts entgegen. Zu Recht führt die Vorinstanz weiter aus, ein Verzicht auf eine Ausschreibung im SIS käme nur dann in Betracht, wenn der Beschwerdeführer im Besitze eines Aufenthaltstitels eines Schengen-Mitgliedstaates wäre. Diesbezüglich gilt es auf Art. 25 des Schengener Durchführungsübereinkommens vom 14. Juni 1985 (SDÜ, Abl. L 239 vom 22. September 2000, S. 19-62) hinzuweisen. Das darin statuierte Konsultationsverfahren regelt, wann der ausschreibende Vertragsstaat die Einreiseverweigerung gegenüber einem Drittstaatsangehörigen im SIS wieder löscht. Dies wäre dann der Fall, wenn ein anderes Schengenland dem Beschwerdeführer eine Aufenthaltserlaubnis erteilen oder zusichern würde.</w:t>
      </w:r>
    </w:p>
    <w:p>
      <w:r>
        <w:rPr>
          <w:b/>
        </w:rPr>
        <w:t>E. 7</w:t>
      </w:r>
    </w:p>
    <w:p>
      <w:r>
        <w:t>Aus diesen Erwägungen ergibt sich, dass die angefochtene Verfügung im Lichte von Art. 49 VwVG nicht zu beanstanden ist. Die Beschwerde ist daher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