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F-5549/2020 vom 17. Oktober 2022</w:t>
      </w:r>
    </w:p>
    <w:p>
      <w:r>
        <w:t>Bundesverwaltungsgericht, 2022-10-17, FR</w:t>
      </w:r>
    </w:p>
    <w:p>
      <w:r>
        <w:rPr>
          <w:b/>
        </w:rPr>
        <w:t xml:space="preserve">Quelle: </w:t>
      </w:r>
      <w:r>
        <w:t>https://mcp.opencaselaw.ch/entscheid/bvger_F-5549_2020</w:t>
      </w:r>
    </w:p>
    <w:p>
      <w:r>
        <w:t>FR: TAF F-5549/2020 du 17 octobre 2022</w:t>
      </w:r>
    </w:p>
    <w:p>
      <w:r>
        <w:t>IT: TAF F-5549/2020 del 17 ottobre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(cf., dans ce sens, ATF 135 II 384 consid. 2.3), y compris en rapport avec la dénomination de cette loi. Il en va de même s'agissant de l'OASA et de l'OIE qui seront citées selon leur teneur valable jusqu'au 31 décembre 2018 (cf., dans ce sens, arrêt du TAF F-3709/2017 du 15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l'art. 99 LEI entré en vigueur le 1er juin 2019, cf. arrêt du TAFF-6072/2017 du 4 juillet 2019 consid. 4,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w:t>
      </w:r>
    </w:p>
    <w:p>
      <w:r>
        <w:rPr>
          <w:b/>
        </w:rPr>
        <w:t>E. 4.2</w:t>
      </w:r>
    </w:p>
    <w:p>
      <w:r>
        <w:t>En l'espèce, le SEM avait la compétence d'approuver l'octroi d'une autorisation de séjour en application de l'art. 85 OASA (cf. ATF 141 II 169 consid. 4). Il s'ensuit que, ni le SEM, ni a fortiori le Tribunal, ne sont liés par la décision du SPOP du 16 mai 2017 d'octroyer une autorisation de séjour au recourant et peuvent parfaitement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RAHEL DIETHELM, La régularisation des sans-papiers à l'aune de l'art. 30 al. 1 let. b LEtr, une analyse de la jurisprudence du Tribunal administratif fédéral, in : Actualité du droit des étrangers, 2016 vol. I, p. 19 ss ; cf. aussi arrêts du TAF F-6510/2017 du 6 juin 2019 consid. 5.6 et F-736/2017 du 18 février 2019 consid. 5.6 et les réf. cit.).</w:t>
      </w:r>
    </w:p>
    <w:p>
      <w:r>
        <w:rPr>
          <w:b/>
        </w:rPr>
        <w:t>E. 5.7</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(cf. ATF 128 II 200 consid. 5.3 ; ATAF 2009/2 consid. 9.3.2 ; arrêt du TAF F-4305/2016 du 21 août 2017 consid. 5.3). On notera également que, dans plusieurs arrêts, le Tribunal de céans a retenu qu'une grave maladie (à supposer qu'elle ne puisse être soignée dans le pays d'origine) ne saurait justifier, à elle seule, la reconnaissance d'un cas de rigueur au sens de l'art. 30 LEtr, l'aspect médical ne constituant qu'un élément parmi d'autres (cf. arrêts du TAF F-6866/2019 du 23 août 2021 consid. 8.5.2.1.1 ; F-4305/2016 du 21 août 2017 consid. 5.3 ;F-1284/2015 du 18 juillet 2016 consid. 5.2).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w:t>
      </w:r>
    </w:p>
    <w:p>
      <w:r>
        <w:rPr>
          <w:b/>
        </w:rPr>
        <w:t>E. 6.1</w:t>
      </w:r>
    </w:p>
    <w:p>
      <w:r>
        <w:t>Afin de déterminer si le recourant se trouve dans une situation d'extrême gravité au sens de l'art. 30 al. 1 let. b LEtr, il convient - comme on l'a vu (cf. consid. 5.2 supra) - de tenir compte notamment de la durée de son séjour en Suisse, de son intégration aux plans professionnel et social, de sa volonté d'acquérir une formation, de sa situation financière, de son comportement, de sa situation familiale (en particulier de la présence d'enfants scolarisés), de son état de santé, ainsi que de ses possibilités de réintégration dans son pays d'origine (cf. art. 31 al. 1 OASA).</w:t>
      </w:r>
    </w:p>
    <w:p>
      <w:r>
        <w:rPr>
          <w:b/>
        </w:rPr>
        <w:t>E. 6.2</w:t>
      </w:r>
    </w:p>
    <w:p>
      <w:r>
        <w:t>A l'examen du critère relatif à la durée du séjour, l'intéressé a allégué être venu un mois en 2013 en Suisse sans autorisation. Il y est revenu illégalement en avril ou le 27 juin 2015 et y séjourne depuis lors (cf. dossier SEM, pièces 22 et 189). Toutefois, ledit séjour ne saurait être en soi déterminant. L'intéressé n'a en effet jamais été mis au bénéfice d'une autorisation de séjour en Suisse, sa présence étant restée illégale. Quant à la question de la continuité de son séjour, elle ne saurait être considérée comme décisive en l'espèce. En effet, le simple fait pour un étranger de séjourner en Suisse pendant de longues années ne permet pas d'admettre, à lui seul, un cas personnel d'une extrême gravité (cf. ATAF 2007/16 consid. 7). C'est donc en demeurant en Suisse sans droit ou au bénéfice d'une simple tolérance procédurale que le recourant s'est mis dans une situation difficile, si bien que le fait de tenir compte, en leur faveur, de la durée de leur séjour sur le territoire helvétique reviendrait à encourager la « politique du fait accompli » (cf. arrêt du TF 2C_647/2016 du 2 décembre 2016 consid. 3.4 ; arrêt du TAF F-3404/2019 du 12 mai 2021 consid. 6.1), ce qui ne saurait être admis par le Tribunal. Dans ces circonstances, le recourant ne peut pas tirer parti de la seule durée de leur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sa vie privée (cf. ATF 144 I 266 consid. 3.8 et 3.9). Par conséquent,la durée du séjour de l'intéressé en Suisse ne peut pas être prise en considération, ou alors seulement dans une mesure très restreinte(cf., notamment, ATF 130 II 39 consid. 3 ; ATAF 2007/45 consid. 4.4 et 6.3 et 2007/44 consid. 5.2). Partant, il y a lieu d'examiner si des critères d'évaluation autres que la seule durée du séjour en Suisse seraient de nature à faire admettre qu'un départ de ce pays placerait l'intéressé dans une situation extrêmement rigoureuse.</w:t>
      </w:r>
    </w:p>
    <w:p>
      <w:r>
        <w:rPr>
          <w:b/>
        </w:rPr>
        <w:t>E. 6.3</w:t>
      </w:r>
    </w:p>
    <w:p>
      <w:r>
        <w:t>S'agissant de l'intégration professionnelle du recourant en Suisse, il y a travaillé illégalement un mois en 2013, puis d'avril ou juin 2015 jusqu'au 24 juillet 2015 comme manoeuvre sur un chantier (cf. dossier SEM, pièce 22). Sur le plan financier, l'intéressé est pris en charge par son oncle et perçoit des indemnités journalières de la Caisse nationale suisse d'assurance en cas d'accidents (ci-après : SUVA) à hauteur de 3'326,95 francs par mois (cf. dossier cantonal, attestation de prise en charge financière du 16 novembre 2015 et act. 13 TAF, pièce 13). Le recourant a allégué avoir obtenu une promesse d'emploi conditionnée à la délivrance de son permis et continuer ses recherches afin de trouver un travail. En outre, il a émis le souhait de s'orienter vers une formation de dessinateur en bâtiment (cf. act. 13 TAF). Au vu des brèves périodes d'activité lucrative survenues avant l'accident de travail de juillet 2015, le recourant ne saurait se prévaloir d'une intégration professionnelle en ce pays à ce point exceptionnelle qu'elle soit de nature à justifier la reconnaissance d'un cas de rigueur au sens de l'art. 30 al. 1 let. b LEtr. Il n'a en outre pas suivi de formation ou acquis en Suisse des qualifications spécifiques qu'il ne pourrait pas mettre à profit en Macédoine du Nord, circonstances susceptibles de justifier l'admission d'un cas de rigueur au sens de l'art. 30 al. 1 let. b LEtr (cf. arrêt du TAF F-2204/2020 du 8 février 2021 consid. 7.1 et les réf. cit.).</w:t>
      </w:r>
    </w:p>
    <w:p>
      <w:r>
        <w:rPr>
          <w:b/>
        </w:rPr>
        <w:t>E. 6.4</w:t>
      </w:r>
    </w:p>
    <w:p>
      <w:r>
        <w:t>Sur le plan de l'intégration socioculturelle en Suisse, il y a lieu de noter que le recourant a atteint un niveau de français B1 et a avancé souhaiter se réinscrire aux cours ces prochains mois (cf. act. 13 TAF, pièce 14). En outre, l'intéressé a versé au dossier trois lettres de soutien dans la précédente cause (cf. arrêt du TAF F-6616/2017 du 26 novembre 2019 consid. 6.5). S'il est certes avéré qu'il a tissé des liens avec son milieu, il n'en demeure pas moins que son intégration sociale reste insuffisante malgré l'imputabilité de ses problèmes de santé. A ce propos, le prénommé n'a pas argué, ni prouvé, qu'il se serait particulièrement investi dans la vie associative et culturelle de son canton ou de sa commune de résidence, en participant activement à des sociétés locales, par exemple. Or,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2007/45 consid. 4.2, et 2007/16 consid. 5.2).</w:t>
      </w:r>
    </w:p>
    <w:p>
      <w:r>
        <w:rPr>
          <w:b/>
        </w:rPr>
        <w:t>E. 6.5</w:t>
      </w:r>
    </w:p>
    <w:p>
      <w:r>
        <w:t>Le Tribunal rappelle, de plus,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 F-2303/2019 du 23 février 2021, consid. 7.1.2). En l'espèce, l'intéressé a été condamné pour entrée illégale, séjour illégal et exercice d'une activité lucrative sans autorisation mais a été exempté de toute peine en application de l'art. 54 CP (cf. dossier SEM, pièce 22). S'il ne faut certes pas exagérer l'importance des infractions inhérentes à la condition de travailleur clandestin (tels que le séjour et le travail sans autorisation) dans le cadre de procédures tendant à la régularisation des conditions de séjour de sans-papiers (cf. ATF 130 II 39 consid. 5.2), il n'en demeure pas moins que l'intéressé ne peut se prévaloir d'un comportement irréprochable et exempt de critiques.</w:t>
      </w:r>
    </w:p>
    <w:p>
      <w:r>
        <w:rPr>
          <w:b/>
        </w:rPr>
        <w:t>E. 6.6</w:t>
      </w:r>
    </w:p>
    <w:p>
      <w:r>
        <w:t>S'agissant de la situation personnelle et familiale du recourant, il convient de relever que si celui-ci séjourne en Suisse depuis 2015, il a néanmoins passé la majeure partie de son existence en Macédoine du Nord. En effet, l'intéressé a vécu les 21 premières années de sa vie dans son pays d'origine, notamment son adolescence et le début de sa vie d'adulte, qui sont les années décisives durant lesquelles se forge la personnalité en fonction notamment de l'environnement socioculturel(cf. ATF 123 II 125 consid. 5b/aa ; ATAF 2007/45 précité consid. 7.6). C'est donc nécessairement dans sa patrie - où il est né, a accompli toute sa scolarité obligatoire, puis a suivi une formation professionnelle - qu'il a ses principales attaches sociales et culturelles (cf. arrêt du TAF F-6616/2017 du 26 novembre 2019 consid. 6.5). A cela s'ajoute que le recourant a certes des attaches familiales en Suisse où résident notamment une tante, trois cousins et cousines, ainsi qu'un de ses frères et une belle-soeur (cf. dossier SEM, pièces 132, 232 et act. 13 TAF). Cependant, il dispose encore en Macédoine du Nord de ses parents, d'un frère, de deux oncles et de cousins (cf. dossier SEM, pièces 6 et 131). En outre, la situation familiale du recourant, qui est célibataire et sans charge familiale, ne saurait justifier la régularisation de ses conditions de séjour en Suisse.</w:t>
      </w:r>
    </w:p>
    <w:p>
      <w:r>
        <w:rPr>
          <w:b/>
        </w:rPr>
        <w:t>E. 6.7</w:t>
      </w:r>
    </w:p>
    <w:p>
      <w:r>
        <w:t>En l'espèce, l'intéressé a subi une amputation à la mi-cuisse de la jambe droite et une fracture du bassin après un accident professionnel survenu le 24 juillet 2015 (cf. act. 13 TAF, pièces 11 et 15). Une nouvelle prothèse a été réalisée au début de l'année 2022, mais le recourant ne la supporte pas plus que deux heures d'affilée. Des contrôles réguliers de l'appareillage et des modifications de prothèse sont nécessaires en raison des changements de volume du moignon. L'évolution a été rapportée comme étant fluctuante, marquée par de la douleur neuropathique du membre fantôme avec des complications locales au niveau du moignon et plusieurs infections cutanées. En effet, l'intéressé présente des folliculites à répétition, nécessitant des soins locaux, parfois une antibiothérapie, voire même des drainages d'abcès. En outre, des points d'appui douloureux surviennent régulièrement dans le contexte d'un moignon avec des remaniements cicatriciels importants. L'intéressé se plaint également fréquemment de lombalgies. Ainsi, des contrôles médicaux par des techniciens orthopédistes sont indiqués (cf. act. 13 TAF, pièce 15). Sa médication journalière consiste en deux analgésiques ([...] et [...]), du paracétamol (...) et un antisécrétoire gastrique (...). Des patchs de Fentanyl ont été introduits en décembre 2020 sans amélioration sur la douleur. Son médecin généraliste le suit mensuellement (cf. act. 13 TAF, pièce 11). Sur le plan psychique, le recourant a des douleurs fantômes à la jambe amputée, le sommeil perturbé, des idées suicidaires scénarisées sans volonté de passer à l'acte, des angoisses et des reviviscences de la scène de l'accident plusieurs fois par jour sous forme de cauchemars durant la nuit. Les diagnostiques d'état de stress post-traumatique et épisode dépressif moyen ont été retenus. Une médication, à savoir un antidépresseur (...) et un hypnotique (...), lui a été prescrite. L'auto-hypnose et la cohérence cardiaque lui ont été enseignées. Le recourant a été suivi mensuellement par un psychiatre jusqu'au 1er novembre 2021, ensuite il a repris un rendez-vous le 5 juillet 2022 (cf. act. 13 TAF, pièce 12). Etant donné que son état de santé n'a pas été considéré comme stabilisé par la SUVA, il perçoit encore des indemnités journalières et le calcul d'une rente n'a pas encore été considéré comme possible (cf. act. 13 TAF). Ainsi, il découle de ce qui précède que seul l'état de santé du recourant serait susceptible de constituer un critère de poids dans l'analyse de la présente affaire. Or, conformément à la jurisprudence précitée, en l'absence d'autres circonstances spécifiques, cet élément n'est pas apte en l'espèce, à lui seul, à justifier l'octroi d'une autorisation de séjour sur la base de l'art. 30 LEtr. En effet, les motifs médicaux constituent avant tout un obstacle à l'exécution du renvoi au sens de l'art. 83 al. 4 LEtr (voir consid. 7.1 infra ; cf, notamment, ATAF 2021 VII/6 consid. 6.3.2 ; arrêts du TAF F-3272/2014 du 18 août 2016 consid. 6.8 ; F-1282/2015 du 18 juillet 2016 consid. 5.2; cf. également Gabrielle Steffen, Droit aux soins et rationnement, 2002, pp. 81 s. et 87). Une personne qui ne peut se prévaloir que d'arguments d'ordre médical ne se distingue pas de ses compatriotes restés dans son pays d'origine et souffrant de la même maladie ou d'un état de santé d'une gravité similaire (cf., à ce sujet, arrêts du TF 2C_396/2014 du 27 mars 2015 consid. 4.5 ; 2C_187/2008 du 15 mai 2008 consid. 2.3 ; arrêt du TAF F-6510/2017 du 6 juin 2019 consid. 6.1). En ce qui concerne l'état de santé du recourant, il ne ressort pas du dossier, même au regard de ce qui précède, que celui-ci souffrirait actuellement de problèmes médicaux importants de nature à le placer, en cas de retour dans son pays d'origine, dans une situation qui entraînerait une péjoration massive de son état de santé, mettant en danger le pronostic vital (cf. consid. 5.7 supra).</w:t>
      </w:r>
    </w:p>
    <w:p>
      <w:r>
        <w:rPr>
          <w:b/>
        </w:rPr>
        <w:t>E. 6.8</w:t>
      </w:r>
    </w:p>
    <w:p>
      <w:r>
        <w:t>En conséquence, le Tribunal, à l'instar de l'autorité précédente, parvient à la conclusion que le recourant ne satisfait pas aux conditions restrictives posées par la pratique et la jurisprudence pour la reconnaissance d'une situation d'extrême gravité. Dès lors que l'existence d'un cas de rigueur n'est pas retenue en faveur du recourant, point n'est besoin d'examiner si ce dernier remplit en sus la condition prescrite à l'art. 31 al. 2 OASA (devoir de justifier son identité) pour l'octroi d'une autorisation de séjour.</w:t>
      </w:r>
    </w:p>
    <w:p>
      <w:r>
        <w:rPr>
          <w:b/>
        </w:rPr>
        <w:t>E. 7</w:t>
      </w:r>
    </w:p>
    <w:p>
      <w:r>
        <w:t>Par sa décision du 20 octobre 2020, le SEM a également prononcé le renvoi de Suisse du recourant et lui a fixé un délai de départ, en application de l'art. 64 LEtr. Il y a donc lieu d'examiner si l'exécution de ce renvoi est possible, licite et raisonnablement exigible au sens de l'art. 83 al. 2 à 4 LEtr.</w:t>
      </w:r>
    </w:p>
    <w:p>
      <w:r>
        <w:rPr>
          <w:b/>
        </w:rPr>
        <w:t>E. 7.1</w:t>
      </w:r>
    </w:p>
    <w:p>
      <w:r>
        <w:t>Aux termes de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dans certains Etats, le lot habituel de la population locale, en particulier des pénuries de soins, de logement, d'emplois, et de moyens de formation, ne suffisent pas en soi à réaliser une telle mise en danger (cf. arrêt du TAFF-6510/2017 précité consid. 7.2). Ceci étant, il convient, dans le cadre de l'analyse du cas d'espèce, de faire appel à des critères aussi divers que les attaches avec la région de réinstallation, notamment les relations familiales et sociales, les séjours antérieurs, respectivement les emplois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7.2</w:t>
      </w:r>
    </w:p>
    <w:p>
      <w:r>
        <w:t>S'agissant en particulier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arrêt du TAFF-4436/2019 du 1er février 2021 consid. 7.3; Gabrielle Steffen, Soins essentiels : un droit fondamental qui transcende les frontières ?, 2018, ch. 2.4 p. 13 ss et réf. cit. ; Chatton/Sieber, Le droit à la santé et à la couverture des soins des étrangers en Suisse, in : Achermann et al. [édit]), Annuaire du droit de la migration 2019/2020, 2019, p. 154 ss).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n'atteindrait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 arrêt du TAF F-4436/2019 du 21 février 2021 consid. 7.3).</w:t>
      </w:r>
    </w:p>
    <w:p>
      <w:r>
        <w:rPr>
          <w:b/>
        </w:rPr>
        <w:t>E. 7.3</w:t>
      </w:r>
    </w:p>
    <w:p>
      <w:r>
        <w:t>Il ressort de ce qui précède que l'intéressé nécessite un suivi psychiatrique, ainsi que des contrôles médicaux et techniques par des orthopédistes réguliers, ainsi que la prise journalière de plusieurs médicaments. Sur un autre plan, il perçoit des indemnités journalières de la SUVA et une rente n'a pas pu être encore calculée. En outre, une procédure serait en cours en lien avec l'accident du 24 juillet 2015 afin de déterminer les responsabilités. La présence de l'intéressé en Suisse serait indispensable afin de participer à ladite procédure (voir consid. 6.7 supra ; cf. act. 13 TAF, pièce 13). En Macédoine du Nord, en 2020, le taux de chômage des jeunes (15-29 ans) a légèrement diminué de 0,9% pour atteindre 29,6%. La part des jeunes qui ne sont pas en situation d'emploi, d'éducation ou de formation dans cette même tranche d'âge se monte à 26,2%. Cela montre que davantage de jeunes ont eu tendance à devenir inactifs (source : European Commission: North Macedonia 2021 Report [SWD (2021) 294 final], 19 octobre 2021, p. 82, consulté en septembre 2022). Il existe un certain nombre d'instruments politiques visant à renforcer l'inclusion économique des personnes handicapées et à prévenir la discrimination à leur égard, dont la stratégie nationale pour l'égalité et la non-discrimination 2022. La législation nationale fournit un cadre juridique et institutionnel complet pour soutenir leur intégration économique. Des quotas dans les secteurs public et privé existent depuis 2014, allant de 2% à selon l'activité jusqu'à un maximum de 20 travailleurs handicapés pour les entreprises employant plus de 1'000 salariés (source : Européen Bank for Reconstruction and Development, Profile on economic inclusion for people with disabilities and older workers: Republic of North Macedonia, consulté en septembre 2022). En 2018, environ 90% de la population était assurée en cas de maladie (sur la base des chiffres de population du dernier recensement officiel tenu en 2002). Le droit aux prestations est lié au paiement des cotisations (source : Organisation mondiale de la santé, Can people afford to pay for health care? New evidence on financial protection in North Macedonia: summary, 31 août 2021, p. 10 s, consulté en septembre 2022). Les personnes qui transfèrent leur résidence de Suisse en Macédoine ont droit à la protection en cas de maladie et aux indemnités journalières, notamment si elles étaient assurées auprès d'un assureur-maladie suisse avant leur transfert de résidence ou lorsqu'elles touchent une rente suisse, pour autant qu'elles s'acquittent des cotisations prescrites (cf. art. 13 let. a de la Convention de sécurité sociale entre la Confédération suisse et de la République de Macédoine, du 9 décembre 1999 [RS 0.831.109.520.1] ; ci-après : la Convention). Le Fond de l'assurance maladie fournit un large ensemble de prestations de base qui couvre les soins d'urgence, les soins ambulatoires primaires et secondaires, les soins hospitaliers, les services préventifs et de réadaptation des prestataires dudit fond. En outre, certains services de soins dentaires et de santé mentale, les médicaments prescrits et l'indemnisation des congés de maladie et de maternité sont également pris en charge. Au contraire, les consultations externes de spécialistes, les médicaments prescrits en ambulatoire et les soins hospitaliers, sont soumis à un co-paiement jusqu'à un maximum de 20% du prix (50% pour les produits médicaux). Globalement, ledit co-paiement est plafonné à 98 EUR par service et annuellement en fonction du revenu. Il existe des exonérations pour les médicaments ambulatoires destinés aux ménages à faibles revenus (source : Organisation mondiale de la santé, Health Systems in Action, North Macedonia, 2022 Edition, p. 8, consulté en septembre 2022). Selon l'art. 22 ch. 1 de la Convention, les personnes qui, selon les dispositions légales de l'un des Etats contractants, ont droit à des prestations en nature en raison d'un accident du travail ou d'une maladie professionnelle demeurent au bénéfice de ces prestations lorsqu'elles transfèrent leur lieu de séjour sur le territoire de l'autre Etat pendant le traitement médical. Ce changement de lieu de séjour requiert l'autorisation préalable de l'institution débitrice de prestations. L'autorisation est donnée si aucune indication médicale ne s'y oppose et que la personne se rend dans sa famille. En vertu du ch. 4 de cette même disposition, l'octroi de prothèses ou d'autres prestations en nature importantes est subordonné, sauf dans les cas d'extrême urgence, au consentement préalable de l'institution débitrice de prestations (cf., également, Greber/Kahil-Wolff/Frésard-Fellay/Molo, Droit suisse de la sécurité sociale, vol. I, 2010, p. 154). Or, malgré les problèmes psychiques et physiques indéniables dont souffre le recourant - qu'il ne s'agit pas en l'espèce de minimiser - son état de santé ne constitue pas un obstacle insurmontable à un retour dans son pays. Sur le plan financier, les indemnités journalières de la SUVA pourront être exportées vers la Macédoine du Nord après l'autorisation préalable de la caisse et qu'il pourrait obtenir de prestations en nature, à l'instar des prothèses. Une fois le calcul de la rente effectué, ce dernier pourra bénéficier de l'assurance-maladie en Macédoine du Nord à condition qu'il s'acquitte des cotisations. De cette manière, il aura accès à des soins médicaux nécessaires à son état de santé autant physique que psychique, soit gratuitement, soit avec une possible participation financière pour le paiement de médicaments ou la consultation de spécialistes. Dans ces circonstances, l'intéressé pourra se constituer, si besoin, une réserve de médicaments avant son départ de Suisse. De surcroît, il ressort du rapport médical du 2 mars 2021 que son insécurité ne favorisait pas une évolution positive des symptômes psychiques et limitait l'efficacité du traitement psychothérapeutique. En Suisse, selon ledit rapport, sa situation sur le plan du logement était précaire, l'issue de la présente procédure était incertaine et il était isolé de sa famille (cf. act. 13 TAF, pièce12). Concernant ce dernier point, il sied de rappeler que ses parents, un frère, deux oncles et des cousins vivent en Macédoine du Nord (cf. consid. 6.6 supra). Dans ces conditions, il a conservé, dans son pays d'origine, un cercle familial et de connaissances susceptibles de favoriser son retour. Sur un autre plan, il lui incombera de déposer une demande de visa dans l'hypothèse où sa présence en Suisse serait requise dans le cadre d'une procédure visant à définir les responsabilités dans l'accident du 24 juillet 2015.</w:t>
      </w:r>
    </w:p>
    <w:p>
      <w:r>
        <w:rPr>
          <w:b/>
        </w:rPr>
        <w:t>E. 7.4</w:t>
      </w:r>
    </w:p>
    <w:p>
      <w:r>
        <w:t>Il n'y a également pas lieu d'admettre que l'intéressé soit confronté à des difficultés insurmontables lors de sa réinstallation dans son pays. A cet égard, les perspectives de réinsertion professionnelle et sociale de l'intéressé semblent certes rendues plus compliquées par la situation socio-économique de Macédoine du Nord mais ne peuvent pas être exclues par son état de santé vu les programmes visant à renforcer l'inclusion économique des personnes handicapées (voir consid. 7.3 supra).</w:t>
      </w:r>
    </w:p>
    <w:p>
      <w:r>
        <w:rPr>
          <w:b/>
        </w:rPr>
        <w:t>E. 7.5</w:t>
      </w:r>
    </w:p>
    <w:p>
      <w:r>
        <w:t>Ainsi, au vu de l'ensemble de ces éléments, l'exécution du renvoi du recourant doit être considéré comme raisonnablement exigible au sens de l'art. 83 al. 4 LEtr et licite. Se considérant suffisamment informé, le Tribunal renonce, par appréciation anticipée des preuves, à procéder à l'audition de l'intéressé ainsi que d'éventuels témoins (cf. act. 1 TAF).</w:t>
      </w:r>
    </w:p>
    <w:p>
      <w:r>
        <w:rPr>
          <w:b/>
        </w:rPr>
        <w:t>E. 8.1</w:t>
      </w:r>
    </w:p>
    <w:p>
      <w:r>
        <w:t>Il résulte de ce qui précède que, par sa décision du 20 octobre 2020, l'autorité intimée n'a ni violé le droit fédéral, ni constaté des faits pertinents de manière inexacte ou incomplète. En outre, la décision attaquée n'est pas inopportune (cf. art. 49 PA). En conséquence, le recours est rejeté.</w:t>
      </w:r>
    </w:p>
    <w:p>
      <w:r>
        <w:rPr>
          <w:b/>
        </w:rPr>
        <w:t>E. 8.2</w:t>
      </w:r>
    </w:p>
    <w:p>
      <w:r>
        <w:t>Vu l'issue de la cause, les frais de procédure sont mis à la charge de l'intéressé (cf. art. 63 al. 1 PA et art. 1 ss du règlement du 21 février 2008 concernant les frais, dépens et indemnités fixés par le Tribunal administratif fédéral [FITAF, RS 173.320.2]). Ceux-ci sont prélevés sur l'avance de frais de 1'000 francs, versée par le recourant le 3 décembre 2020. Compte tenu du rejet du recours, le recourant n'a pas droit à des dépens (art. 64 al. 1 PA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