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F-5543/2022 vom 7. Dezember 2022</w:t>
      </w:r>
    </w:p>
    <w:p>
      <w:r>
        <w:t>Bundesverwaltungsgericht, 2022-12-07, DE</w:t>
      </w:r>
    </w:p>
    <w:p>
      <w:r>
        <w:rPr>
          <w:b/>
        </w:rPr>
        <w:t xml:space="preserve">Quelle: </w:t>
      </w:r>
      <w:r>
        <w:t>https://mcp.opencaselaw.ch/entscheid/bvger_F-5543_2022</w:t>
      </w:r>
    </w:p>
    <w:p>
      <w:r>
        <w:t>FR: TAF F-5543/2022 du 7 décembre 2022</w:t>
      </w:r>
    </w:p>
    <w:p>
      <w:r>
        <w:t>IT: TAF F-5543/2022 del 7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1 und 2 sind für sich und ihre Kinder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ein Asylgesuch wird in der Regel nicht eingetreten, wenn der/die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3.4</w:t>
      </w:r>
    </w:p>
    <w:p>
      <w:r>
        <w:t>Vorliegend ergab ein Abgleich der Fingerabdrücke der Beschwerdeführenden 1 und 2, dass sie am 1. September 2022 in Kroatien aufgegriffen und daktyloskopisch erfasst worden waren. Gleichentags hatten sie gemäss Auszug aus der «Eurodac»-Datenbank Asylgesuche gestellt (vgl. Sachverhalt A). Die kroatischen Behörden stimmten dem Wiederaufnahmeersuchen der Vorinstanz gestützt auf Art. 20 Abs. 5 Dublin-III-VO fristgerecht zu und wiesen darauf hin, dass das Zuständigkeitsverfahren von ihnen fortgeführt werde. Die Beschwerdeführenden 1 und 2 hätten am 1. September 2022 ihren Willen zum Ausdruck gebracht, um internationalen Schutz zu ersuchen, seien aber vor der Durchführung ihrer Befragung verschwunden. Damit sind sowohl die Antragsstellung in Kroatien als auch der Umstand, dass das kroatische Verfahren zur Bestimmung des für die Asylgesuche der Beschwerdeführenden zuständigen Mitgliedstaats gemäss Art. 20 Abs. 5 Dublin-III-VO noch nicht abgeschlossen wurde und nach einer Rücküberstellung der Beschwerdeführenden fortgesetzt wird, als erstellt zu betrachten (vgl. Urteil des BVGer F-5023/2022 vom 23. November 2022 E. 4.4 f. m.H.). Die Zuständigkeit Kroatiens ist somit grundsätzlich gegeben, was von den Beschwerdeführenden auf Beschwerdeebene nicht mehr bestritten wird.</w:t>
      </w:r>
    </w:p>
    <w:p>
      <w:r>
        <w:rPr>
          <w:b/>
        </w:rPr>
        <w:t>E. 4.1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4.2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bspw. Urteile des BVGer F-3957/2022 vom 11. Oktober 2022 E. 5; F-4002/2022 vom 26. September 2022 E. 7.2; F-3903/2022 vom 16. September 2022 E. 4; F-3448/2022 vom 22. August 2022 E. 6.2). Für eine Änderung der Rechtsprechung besteht auch in Würdigung der von den Beschwerdeführenden gemachten Äusserungen zu ihrer Behandlung in Kroatien keine Veranlassung. Folglich ist die Anwendung von Art. 3 Abs. 2 Dublin-III-VO nicht gerechtfertigt.</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5.2</w:t>
      </w:r>
    </w:p>
    <w:p>
      <w:r>
        <w:t>Die Beschwerdeführenden vermögen nicht darzutun, dass die sie bei einer Rückführung nach Kroatien zu erwartenden Bedingungen derart schlecht sind, dass sie zu einer Verletzung von Art. 3 EMRK führen könnten.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Im Übrigen steht den Beschwerdeführenden die Möglichkeit offen, die vor Ort tätigen karitativen Organisationen zu kontaktieren. Im Zusammenhang mit dem Kindeswohl ist festzuhalten, dass Kroatien Signatarstaat des Übereinkommens vom 20. November 1989 über die Rechte des Kindes (KRK, SR 0.107) ist, weshalb eine Überstellung nach Kroatien weder eine Verletzung von Art. 3 KRK noch Art. 3 EMRK bedeutet.</w:t>
      </w:r>
    </w:p>
    <w:p>
      <w:r>
        <w:rPr>
          <w:b/>
        </w:rPr>
        <w:t>E. 5.3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5.4</w:t>
      </w:r>
    </w:p>
    <w:p>
      <w:r>
        <w:t>Den Akten zufolge konsultierte die Beschwerdeführerin 2 am 27. Oktober 2022 aufgrund von Ängsten eine Ärztin der X._______ AG in Z._______, welche den Verdacht auf eine posttraumatische Belastungsstörung, Angst und Depression festhielt. Sie überwies die Beschwerdeführerin 2 an einen Psychiater und verschrieb ihr das Medikament Laitea (Konsultationsbericht vom 28. Oktober 2022 [SEM-act. 40]). Weiter geht aus den Akten eine notfallmässige Selbstvorstellung im Kantonsspital Y._______ am 25. Oktober 2022 hervor wegen Veränderungen der Haut mit Juckreiz bei beiden Kindern. Beim einjährigen Beschwerdeführer 4 wurde der Verdacht auf Stichreaktionen am Gesicht, Armen und Beinen sowie ein viraler Infekt, bei der zweieinhalbjährigen Beschwerdeführerin 3 der Verdacht auf ein impetiginisiertes Exanthem am rechten Unterarm, Status nach Varizellen (Windpocken), sowie der Verdacht auf atopische Dermatitis diagnostiziert. Beide wurden medikamentös behandelt (Arztberichte des Kantonsspitals Y._______ vom 25., 27. und 31. Oktober 2022 [SEM-act. 41, 42]). Am 6. November 2022 war zudem bei beiden Kindern ein Atemwegsinfekt (beim Sohn zusätzlich anamnestisch Obstipation) festgestellt und die entsprechende Medikation verordnet worden (Arztberichte des Kantonsspitals Y._______ vom 7. November 2022 [SEM-act. 41, 42]).</w:t>
      </w:r>
    </w:p>
    <w:p>
      <w:r>
        <w:rPr>
          <w:b/>
        </w:rPr>
        <w:t>E. 5.5</w:t>
      </w:r>
    </w:p>
    <w:p>
      <w:r>
        <w:t>Die von den Beschwerdeführenden geltend gemachten Beschwerden stellen keine gravierenden Erkrankungen dar, welche in Kroatien nicht (weiter) behandelt werden könnten. Kroatien verfügt grundsätzlich über eine ausreichende medizinische Infrastruktur (vgl. dazu Urteil des BVGer D-735/2022 vom 28. Februar 2022 E. 6.7.3). So kann davon ausgegangen werden, dass die Beschwerdeführenden Zugang zur nötigen Unterstützung erhalten können, zumal Kroatien aufgrund der Aufnahmerichtlinie insbesondere auch zur Behandlung schwerer psychischer Störungen und gegebenenfalls zur psychologischen Betreuung verpflichtet ist. Im Übrigen wäre auch eine mögliche Schwangerschaft der Beschwerdeführerin 2, wie auf Beschwerdeebene angedeutet, kein Überstellungshindernis (vgl. etwa Urteil des BVGer D-1304/2021 vom 25. Mai 2021 E. 7.3.2.2). Vor diesem Hintergrund war die Vorinstanz auch nicht verpflichtet, individuelle Zusicherungen bezüglich des Zugangs zu adäquater medizinischer Versorgung einzuholen. Die Vorbringen der Beschwerdeführenden, wonach das spezielle Auffangzentrum für vulnerable Personen in Kroatien aktuell renoviert werde, vermag daran auch nichts zu ändern, zumal es sich dabei um ein zeitlich begrenztes Vollzugshindernis zu handeln scheint. Ausserdem werden die schweizerischen Behörden, die mit dem Vollzug der angefochtenen Verfügung beauftragt sind, dem aktuellen Gesundheitszustand der Beschwerdeführenden bei der Organisation der Überstellung nach Kroatien Rechnung tragen, indem sie die dortigen Behörden im Sinne von Art. 31 und Art. 32 Dublin-III-VO vorgängig über den aktuellen Gesundheitszustand und die allenfalls notwendige medizinische Behandlung der Beschwerdeführenden informieren werden.</w:t>
      </w:r>
    </w:p>
    <w:p>
      <w:r>
        <w:rPr>
          <w:b/>
        </w:rPr>
        <w:t>E. 5.6</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 gesetzeswidrige Ermessensausübung durch die Vorinstanz zu entnehmen und es kann insbesondere nicht - wie in der Beschwerde vorgebracht - von einer Ermessensunterschreitung ausgegangen werden. Für die beantragte Rückweisung der Sache an die Vorinstanz besteht kein Anlass; das Gericht enthält sich deshalb in diesem Zusammenhang weiterer Äusserungen.</w:t>
      </w:r>
    </w:p>
    <w:p>
      <w:r>
        <w:rPr>
          <w:b/>
        </w:rPr>
        <w:t>E. 5.7</w:t>
      </w:r>
    </w:p>
    <w:p>
      <w:r>
        <w:t>In Beachtung vorstehender Erwägungen liegt kein Grund für die Anwendung der Ermessensklausel von Art. 17 Dublin-III-VO beziehungsweise Art. 29a Abs. 3 AsylV 1 vor. Weder ist die Schweiz verpflichtet, auf die Asylgesuche einzutreten, noch sind Rechtsfehler bei der Ermessensbetätigung ersichtlich. Die Vorinstanz ist daher zu Recht auf die Asylgesuche der Beschwerdeführenden nicht eingetreten und hat die Überstellung nach Kroatien angeordnet.</w:t>
      </w:r>
    </w:p>
    <w:p>
      <w:r>
        <w:rPr>
          <w:b/>
        </w:rPr>
        <w:t>E. 6</w:t>
      </w:r>
    </w:p>
    <w:p>
      <w:r>
        <w:t>Die Beschwerde ist nach dem Gesagten abzuweisen. Mit dem vorliegenden Urteil fällt der am 2. Dezember 2022 angeordnete Vollzugsstopp dahin. Das Gesuch um Erteilung der aufschiebenden Wirkung ist gegenstandslos geworden.</w:t>
      </w:r>
    </w:p>
    <w:p>
      <w:r>
        <w:rPr>
          <w:b/>
        </w:rPr>
        <w:t>E. 7</w:t>
      </w:r>
    </w:p>
    <w:p>
      <w:r>
        <w:t>Das Gesuch um Gewährung der unentgeltlichen Rechtspflege ist abzuweisen, da die Begehren - wie sich aus den vorstehenden Erwägungen ergibt - von Anfang an als aussichtslos zu bezeichnen waren. Die Verfahrenskosten sind den Beschwerdeführenden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