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F-5539/2021 vom 9. Dezember 2021</w:t>
      </w:r>
    </w:p>
    <w:p>
      <w:r>
        <w:t>Bundesverwaltungsgericht, 2021-12-09, DE</w:t>
      </w:r>
    </w:p>
    <w:p>
      <w:r>
        <w:rPr>
          <w:b/>
        </w:rPr>
        <w:t xml:space="preserve">Quelle: </w:t>
      </w:r>
      <w:r>
        <w:t>https://mcp.opencaselaw.ch/entscheid/bvger_F-5539_2021_d20211209</w:t>
      </w:r>
    </w:p>
    <w:p>
      <w:r>
        <w:t>FR: TAF F-5539/2021 du 9 décembre 2021</w:t>
      </w:r>
    </w:p>
    <w:p>
      <w:r>
        <w:t>IT: TAF F-5539/2021 del 9 dicembre 2021</w:t>
      </w:r>
    </w:p>
    <w:p>
      <w:pPr>
        <w:pStyle w:val="Heading2"/>
      </w:pPr>
      <w:r>
        <w:t>Regeste</w:t>
      </w:r>
    </w:p>
    <w:p>
      <w:r>
        <w:t>Nichteintreten auf Asylgesuch und Wegweisung (Dublin-Verfahren) | Nichteintreten auf Asylgesuch und Wegweisung (Dublin-Verfahren); Verfügung des SEM vom 9. Dezember 2021</w:t>
      </w:r>
    </w:p>
    <w:p>
      <w:pPr>
        <w:pStyle w:val="Heading2"/>
      </w:pPr>
      <w:r>
        <w:t>Erwägungen</w:t>
      </w:r>
    </w:p>
    <w:p>
      <w:r>
        <w:rPr>
          <w:b/>
        </w:rPr>
        <w:t>E. 1.1</w:t>
      </w:r>
    </w:p>
    <w:p>
      <w:r>
        <w:t>Gemäss Art. 105 AsylG i.V.m. Art. 31 VGG ist das Bundesverwaltungs- gericht zur Beurteilung von Beschwerden auf dem Gebiet des Asyls zu- ständig und entscheidet über diese in der Regel – wie auch vorliegend – endgültig (vgl. Art. 83 Bst. d Ziff. 1 BGG). Die Beschwerdeführenden sind zur Einreichung der Beschwerde legitimiert (Art. 48 Abs. 1 VwVG). Auf die im Übrigen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 Das Bundesverwaltungsgericht wendet im Beschwerdeverfahren das Bundesrecht von Amtes wegen an. Es ist ge- mäss Art. 62 Abs. 4 VwVG nicht an die Begründung der Begehren gebun- den und kann die Beschwerde auch aus anderen als den geltend gemach- ten Gründen gutheissen oder abweisen. Massgebend ist grundsätzlich die Sachlage zum Zeitpunkt des Entscheids (BGE 139 II 534 E. 5.4.1; BVGE 2014/1 E. 2).</w:t>
      </w:r>
    </w:p>
    <w:p>
      <w:r>
        <w:rPr>
          <w:b/>
        </w:rPr>
        <w:t>E. 2.2</w:t>
      </w:r>
    </w:p>
    <w:p>
      <w:r>
        <w:t>Das Bundesverwaltungsgericht hat gestützt auf Art. 111a Abs. 1 AslyG auf die Durchführung eines Schriftenwechsels verzichtet.</w:t>
      </w:r>
    </w:p>
    <w:p>
      <w:r>
        <w:rPr>
          <w:b/>
        </w:rPr>
        <w:t>E. 2.3</w:t>
      </w:r>
    </w:p>
    <w:p>
      <w:r>
        <w:t>Dem Antrag auf Trennung des vorliegenden Verfahrens von demjeni- gen des Ehemanns respektive Vaters wurde mit Zwischenverfügung vom 23. Dezember 2021 stattgegeben. Das in diesem Zusammenhang ge- stellte Eventualbegehren, wonach die durch den rubrizierten Rechtsvertre- ter eingereichte Beschwerdeschrift als Ergänzung zu einer allfällig bereits eingereichten Beschwerde in derselben Sache zu behandeln sei (vgl. vor- stehend J.), erweist sich damit als gegenstandslos.</w:t>
      </w:r>
    </w:p>
    <w:p>
      <w:r>
        <w:rPr>
          <w:b/>
        </w:rPr>
        <w:t>E. 3.1</w:t>
      </w:r>
    </w:p>
    <w:p>
      <w:r>
        <w:t>Die Beschwerdeführenden machen im Rechtsmittelverfahren einzig geltend, aufgrund der neuen Entwicklungen sei der Sachverhalt als nicht vollständig erstellt zu erachten. Die Beschwerdeführerin habe angesichts ihres gewalttätigen Ehemannes keinen anderen Ausweg mehr gesehen, als sich nach Erlass der angefochtenen Verfügung an die Vorinstanz zu</w:t>
      </w:r>
    </w:p>
    <w:p>
      <w:r>
        <w:t>F-5539/2021 Seite 6 wenden, um die örtliche Trennung von ihm zu verlangen. Seit sie im Alter von 13 Jahren zwangsverheiratet worden sei, habe er immer wieder mas- sivste physische Gewalt gegen sie angewendet, so auch während des Asylverfahrens in der Schweiz. Die Gewalt richte sich auch gegen die Kin- der und habe sich in letzter Zeit intensiviert, weshalb sie sich enorm davor fürchte, gemeinsam mit ihm nach Slowenien überstellt zu werden. Die Sa- che sei deshalb zur vollständigen Feststellung des Sachverhalts und zur Neubeurteilung an die Vorinstanz zurückzuweisen.</w:t>
      </w:r>
    </w:p>
    <w:p>
      <w:r>
        <w:rPr>
          <w:b/>
        </w:rPr>
        <w:t>E. 3.2</w:t>
      </w:r>
    </w:p>
    <w:p>
      <w:r>
        <w:t>Die unrichtige oder unvollständige Feststellung des rechtserheblichen Sachverhalts kann nach Art. 49 Bst. b VwVG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 tes wegen abgeklärt, oder nicht alle für den Entscheid wesentlichen Sa- chumstände berücksichtigt hat (vgl. BENJAMIN SCHINDLER, in: Kommentar zum VwVG, 2. Aufl. 2019, Art. 49 N. 29). Nach dem für das Verwaltungs- verfahren geltenden Untersuchungsgrundsatz (Art. 12 ff. VwVG) ist die zu- ständige Behörde mithin verpflichtet, den für die Beurteilung eines Asylge- suchs relevanten Sachverhalt von Amtes wegen festzustellen (vgl. KRAUS- KOPF/EMMENEGGER/BABEY, in: Praxiskommentar VwVG, Waldmann/Weis- senberger [Hrsg.], 2. Auflage 2016, Art. 12 N. 16).</w:t>
      </w:r>
    </w:p>
    <w:p>
      <w:r>
        <w:rPr>
          <w:b/>
        </w:rPr>
        <w:t>E. 3.3</w:t>
      </w:r>
    </w:p>
    <w:p>
      <w:r>
        <w:t>Die Beschwerdeführenden berufen sich auf eine Sachlage, die erst nach dem Erlass der streitigen Verfügung eingetreten sei, und verlangen diesbezüglich weitere Abklärungen. Die geltend gemachten familiären Probleme konnten in der angefochtenen Verfügung vom 6. Dezember 2021 naturgemäss nicht berücksichtigt werden, da die entsprechenden In- formationen erst auf Beschwerdeebene geltend gemacht wurden. Zwar geht aus den vorinstanzlichen Akten hervor, dass die Beschwerdeführerin anlässlich einer gynäkologischen Untersuchung am 16. November 2021 berichtete, sie fühle sich von ihrem Ehemann beim Geschlechtsverkehr je- weils vergewaltigt und die Hochzeit sei arrangiert gewesen. Die behan- delnde Ärztin wies diesbezüglich auf eine anscheinend vorhandene Bezie- hungs- bzw. psychosoziale Problematik hin (Bericht der (…)klinik des V._______ vom 18. November 2021, Akten der Vorinstanz [SEM-act.] 43). Im Rahmen ihres persönlichen Gesprächs am 26. Oktober 2021, welches getrennt vom Ehemann stattgefunden hatte, äusserte sich die Beschwer- deführerin dazu jedoch nicht (SEM-act. 21). Vor dem Hintergrund von Art. 12 VwVG gab es diesbezüglich keine Anhaltspunkte, welche die Vor-</w:t>
      </w:r>
    </w:p>
    <w:p>
      <w:r>
        <w:t>F-5539/2021 Seite 7 instanz hätten veranlassen sollen, den Sachverhalt vor Erlass ihrer Verfü- gung zu aktualisieren. Die Vorinstanz hat dementsprechend den rechtser- heblichen Sachverhalt hinreichend abgeklärt.</w:t>
      </w:r>
    </w:p>
    <w:p>
      <w:r>
        <w:rPr>
          <w:b/>
        </w:rPr>
        <w:t>E. 3.4</w:t>
      </w:r>
    </w:p>
    <w:p>
      <w:r>
        <w:t>Was die Entwicklung des Sachverhalts nach Erlass der streitigen Ver- fügung betrifft, ist nicht ersichtlich, inwiefern weitere Erkenntnisse im Zu- sammenhang mit den Gewaltvorwürfen gegen den Ehemann der Be- schwerdeführerin einen Einfluss auf den Ausgang des Beschwerdeverfah- rens haben könnten. Zudem wird nicht dargelegt, welche weiteren Unter- suchungen bei einer Rückweisung der Sache durch die Vorinstanz zu täti- gen wären. Soweit mit Eingabe vom 2. Februar 2022 unter Verweis auf Art. 63 und Art. 64 Abs. 1 des Übereinkommens des Europarats vom 11. Mai 2011 zur Verhütung und Bekämpfung von Gewalt gegen Frauen und häuslicher Gewalt (Istanbul-Konvention, SR 0.311.35) gefordert wird, Slowenien sei über den Sachverhalt zu informieren und es sei mit einer Überstellung zuzuwarten, bis eine Antwort über die zu treffenden Massnah- men vorliege, rechtfertigt sich ebenfalls keine Rückweisung an die Vo- rinstanz (vgl. dazu nachfolgend E. 6.1 und 8.). In diesem Zusammenhang ist ferner darauf hinzuweisen, dass die Konvention keine subjektiven Rechte begründet (WALTER KÄLIN/JÖRG KÜNZLI, Universeller Menschen- rechtsschutz, 4. Aufl., 2019, Rz. 11.67). Die formelle Rüge erweist sich da- her angesichts dieser Sachlage als unbegründet, weshalb keine Veranlas- sung besteht, die Sache an die Vorinstanz zurückzuweisen. Das entspre- chende Rechtsbegehren ist somit abzuweisen.</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4.2</w:t>
      </w:r>
    </w:p>
    <w:p>
      <w:r>
        <w:t>Gemäss Art. 3 Abs. 1 Dublin-III-VO wird jeder Asylantrag von einem einzigen Mitgliedstaat geprüft, der nach den Kriterien des Kapitels III der Dublin-III-VO als zuständiger Staat bestimmt wird (vgl. auch Art. 7 Abs. 1 Dublin-III-VO). Das Verfahren zur Bestimmung des zuständigen Mitglied- staates wird eingeleitet, sobald in einem Mitgliedstaat erstmals ein Asylan- trag gestellt wird (Art. 20 Abs. 1 Dublin-III-VO). Im Rahmen des Wiederauf- nahmeverfahrens (Art. 23-25 Dublin-III-VO) findet grundsätzlich keine (neue) Zuständigkeitsprüfung nach Kapitel III Dublin-III-VO mehr statt (vgl. zum Ganzen BVGE 2017 VI/5 E. 6.2 und 8.2.1).</w:t>
      </w:r>
    </w:p>
    <w:p>
      <w:r>
        <w:t>F-5539/2021 Seite 8 Die Beschwerdeführenden bestreiten nicht, in Slowenien – wenn auch an- geblich unfreiwillig – Asylgesuche gestellt zu haben. Die slowenischen Be- hörden stimmten dem Übernahmeersuchen der Vorinstanz innert der in Art. 25 Abs. 1 Dublin-III-VO festgelegten Frist zu. Die Zuständigkeit Slowe- niens ist somit grundsätzlich gegeben.</w:t>
      </w:r>
    </w:p>
    <w:p>
      <w:r>
        <w:rPr>
          <w:b/>
        </w:rPr>
        <w:t>E. 4.3</w:t>
      </w:r>
    </w:p>
    <w:p>
      <w:r>
        <w:t>Erweist es sich als unmöglich, einen Antragsteller an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Artikels 4 der EU–Grund- rechtecharta mit sich bringen, so setzt der die Zuständigkeit prüfende Mit- gliedstaat die Prüfung der in Kapitel III vorgesehenen Kriterien fort, um fest- 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 staat (Art. 3 Abs. 2 Dublin-III-VO).</w:t>
      </w:r>
    </w:p>
    <w:p>
      <w:r>
        <w:rPr>
          <w:b/>
        </w:rPr>
        <w:t>E. 4.4</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Dublin-III-VO). Dieses sogenannte Selbst- eintrittsrecht wird durch Art. 29a Abs. 3 der Asylverordnung 1 vom 11. Au- gust 1999 (AsylV 1, SR 142.311) konkretisiert. Gemäss dieser Bestimmung kann das SEM das Asylgesuch aus humanitären Gründen auch dann be- handeln, wenn dafür gemäss Dublin-III-VO ein anderer Staat zuständig wäre. Liegen individuelle völkerrechtliche Überstellungshindernisse vor, ist der Selbsteintritt zwingend (BVGE 2015/9 E. 8.2.1).</w:t>
      </w:r>
    </w:p>
    <w:p>
      <w:r>
        <w:rPr>
          <w:b/>
        </w:rPr>
        <w:t>E. 5</w:t>
      </w:r>
    </w:p>
    <w:p>
      <w:r>
        <w:t>Das Asylverfahren und die Aufnahmebedingungen in Slowenien weisen nach konstanter Rechtsprechung des Bundesverwaltungsgerichts keine systemischen Schwachstellen im Sinne von Art. 3 Abs. 2 Sätze 2 und 3 Dublin-III-VO auf (vgl. Urteile des BVGer D-715/2021 vom 19. Februar 2021, F-4659/2020 vom 24. September 2020 E. 4.1 und F-3660/2020 vom 22. Juli 2020 E. 4.1). Die Anwendung von Art. 3 Abs. 2 Dublin-III-VO ist folglich nicht gerechtfertigt.</w:t>
      </w:r>
    </w:p>
    <w:p>
      <w:r>
        <w:t>F-5539/2021 Seite 9</w:t>
      </w:r>
    </w:p>
    <w:p>
      <w:r>
        <w:rPr>
          <w:b/>
        </w:rPr>
        <w:t>E. 6.1</w:t>
      </w:r>
    </w:p>
    <w:p>
      <w:r>
        <w:t>Während die Vorinstanz in der angefochtenen Verfügung noch davon ausging, die Beschwerdeführenden würden zusammen mit dem Ehemann als Familie nach Slowenien überstellt, steht nach der durch das Bundes- verwaltungsgericht vorgenommenen Verfahrenstrennung vorliegend die Überstellung einer alleinstehenden Frau mit zwei minderjährigen Kinder in Frage. In Bezug auf die ständige Rechtsprechung zu Slowenien ändert dies an der Zulässigkeit der Überstellung allerdings nichts (vgl. Urteil des BVGer F-1642/2021 vom 19. April 2021). Soweit die Beschwerdeführen- den vorbringen, in Slowenien durch den Ehemann beziehungsweise Vater bedroht zu sein (vgl. dazu insbesondere den Bericht des Z._______ vom 17. Januar 2022), sind sie an die slowenischen Polizeibehörden zu verwei- sen. Slowenien ist ein funktionierender Rechtsstaat und die Behörden sind grundsätzlich gewillt und fähig, staatlichen Schutz zu gewähren (vgl. an- stelle vieler Urteil des BVGer F-4495/2021 vom 19. Oktober 2021 E. 6.2). Angesichts dessen verstösst eine Überstellung dorthin auch nicht gegen Art. 61 ff. (insbesondere Art. 61 Abs. 2) der Istanbul-Konvention (vgl. auch Urteil des BVGer F-3417/2021 vom 10. Dezember 2021 E. 5.2). Im Übri- gen hat Slowenien, was auch von den Beschwerdeführenden nicht ver- kannt wird, die Istanbul-Konvention ebenfalls ratifiziert. Der Situation der Beschwerdeführerin als alleinerziehende Mutter zweier kleiner Kinder und auch dem Kindeswohl wird in Slowenien Rechnung getragen. Im Übrigen verfügt Slowenien über eine ausreichende medizinische Infrastruktur und die Mitgliedstaaten sind verpflichtet, den Antragstellern die erforderliche medizinische Versorgung, die zumindest die Notversorgung und die unbe- dingt erforderliche Behandlung von Krankheiten und schweren psychi- schen Störungen umfasst, zugänglich zu machen (Art. 19 Abs. 1 der Richt- linie des Europäischen Parlaments und des Rates 2013/33/EU vom 26. Juni 2013 zur Festlegung von Normen für die Aufnahme von Personen, die internationalen Schutz beantragen [sog. Aufnahmerichtlinie]); den An- tragstellern mit besonderen Bedürfnissen ist die erforderliche medizinische oder sonstige Hilfe (einschliesslich nötigenfalls einer geeigneten psycholo- gischen Betreuung) zu gewähren (Art. 19 Abs. 2 Aufnahmerichtlinie).</w:t>
      </w:r>
    </w:p>
    <w:p>
      <w:r>
        <w:rPr>
          <w:b/>
        </w:rPr>
        <w:t>E. 6.2</w:t>
      </w:r>
    </w:p>
    <w:p>
      <w:r>
        <w:t>Nach dem Gesagten bleibt es bei der Zuständigkeit Sloweniens für die Durchführung des Asyl- und Wegweisungsverfahrens der Beschwerdefüh- renden. Ein Grund für die Anwendung der Ermessensklauseln von Art. 17 Dublin-III-VO und Art. 29a Abs. 3 der Asylverordnung 1 vom 11. August 1999 (AsylV 1, SR 142.311) besteht nicht. Weder ist die Schweiz völker- rechtlich verpflichtet, auf das Asylgesuch einzutreten, noch liegen humani- täre Gründe vor, welche einen Selbsteintritt nahelegen würden.</w:t>
      </w:r>
    </w:p>
    <w:p>
      <w:r>
        <w:t>F-5539/2021 Seite 10</w:t>
      </w:r>
    </w:p>
    <w:p>
      <w:r>
        <w:rPr>
          <w:b/>
        </w:rPr>
        <w:t>E. 7</w:t>
      </w:r>
    </w:p>
    <w:p>
      <w:r>
        <w:t>Die Vorinstanz ist demnach zu Recht gestützt auf Art. 31a Abs. 1 Bst. b AsylG auf das Asylgesuch der Beschwerdeführenden nicht eingetreten und hat die Überstellung nach Slowenien angeordnet. Die Beschwerde ist ab- zuweisen. Mit dem vorliegenden Urteil fällt die mit Zwischenverfügung vom 23. Dezember 2021 angeordnete aufschiebende Wirkung dahin.</w:t>
      </w:r>
    </w:p>
    <w:p>
      <w:r>
        <w:rPr>
          <w:b/>
        </w:rPr>
        <w:t>E. 8</w:t>
      </w:r>
    </w:p>
    <w:p>
      <w:r>
        <w:t>Einer allfälligen Gefährdung der Beschwerdeführenden durch ihren Ehe- mann respektive Vater ist mit entsprechenden Massnahmen beim Vollzug der Überstellung Rechnung zu tragen (getrennte Überstellung, Mitteilung an die slowenischen Behörden).</w:t>
      </w:r>
    </w:p>
    <w:p>
      <w:r>
        <w:rPr>
          <w:b/>
        </w:rPr>
        <w:t>E. 9</w:t>
      </w:r>
    </w:p>
    <w:p>
      <w:r>
        <w:t>Bei diesem Ausgang des Verfahrens wären die Kosten den Beschwerde- führenden aufzuerlegen (Art. 63 Abs. 1 VwVG). Da indessen von der Be- dürftigkeit der Beschwerdeführenden auszugehen ist und ihre Rechtsbe- gehren nicht als aussichtslos betrachtet werden können, ist das Gesuch um unentgeltliche Prozessführung nach Art. 65 Abs. 1 VwVG gutzuheis- sen. Demnach sind keine Verfahrenskosten aufzuerlegen. (Dispositiv nächste Seite)</w:t>
      </w:r>
    </w:p>
    <w:p>
      <w:r>
        <w:t>F-5539/2021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