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F-5535/2023 vom 12. September 2024</w:t>
      </w:r>
    </w:p>
    <w:p>
      <w:r>
        <w:t>Bundesverwaltungsgericht, 2024-09-12, DE</w:t>
      </w:r>
    </w:p>
    <w:p>
      <w:r>
        <w:rPr>
          <w:b/>
        </w:rPr>
        <w:t xml:space="preserve">Quelle: </w:t>
      </w:r>
      <w:r>
        <w:t>https://mcp.opencaselaw.ch/entscheid/bvger_F-5535_2023</w:t>
      </w:r>
    </w:p>
    <w:p>
      <w:r>
        <w:t>FR: TAF F-5535/2023 du 12 septembre 2024</w:t>
      </w:r>
    </w:p>
    <w:p>
      <w:r>
        <w:t>IT: TAF F-5535/2023 del 12 settembre 2024</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Beschwerdeführenden haben am vorangegangenen Einsprache- verfahren teilgenommen und sind als Gastgeber durch den angefochtenen Entscheid besonders berührt. Obwohl der ursprünglich angestrebte Be- suchszeitraum inzwischen abgelaufen ist, kann auf ein fortbestehendes Rechtsschutzinteresse geschlossen werden. Die Beschwerdeführenden sind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w:t>
      </w:r>
    </w:p>
    <w:p>
      <w:r>
        <w:t>F-5535/2023 Seite 4 sind. Liegen keine Ablehnungsgründe vor, ist das Visum auszustellen; ein Rechtsfolgeermessen besteht nicht (so das Urteil des Europäischen Ge- richtshofs [EuGH] vom 19. Dezember 2013 C-84/12 Koushkaki, EU:C:2013:862,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w:t>
      </w:r>
    </w:p>
    <w:p>
      <w:r>
        <w:t>F-5535/2023 Seite 5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Aufgrund ihrer Staatsangehörigkeit (Iran) unterliegen die Gesuchstellen- den der Visumspflicht. Bei der Prüfung der Einreisevoraussetzungen nach Art. 6 Abs. 1 SGK ist die Frage der gesicherten Wiederausreise zentral.</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Anhaltspunkte zur Beurteilung der Gewähr für eine fristgerechte Wieder- ausreise können sich zunächst aus der allgemeinen Situation im Herkunfts- land der drittstaatsangehörigen Person ergeben. Namentlich bei Einreise- gesuchen von Personen aus Staaten bzw. Regionen mit politisch, wirt- schaftlich und sozial ungünstigen Verhältnissen rechtfertigt sich eine strenge Praxis, da die persönliche Interessenlage in solchen Fällen erfah- rungsgemäss häufig nicht mit dem Ziel und Zweck einer zeitlich befristeten Einreisebewilligung im Einklang steht (BVGE 2014/1 E. 6.1).</w:t>
      </w:r>
    </w:p>
    <w:p>
      <w:r>
        <w:rPr>
          <w:b/>
        </w:rPr>
        <w:t>E. 4.2</w:t>
      </w:r>
    </w:p>
    <w:p>
      <w:r>
        <w:t>Zur allgemeinen Situation im Iran kann festgehalten werden, dass sich das Land aktuell mit einer politischen, sozio-ökonomischen und ökologi- schen Krise konfrontiert sieht. Das Land leidet unter Korruption, internatio- nalen Sanktionen und gravierenden Umweltproblemen. Die Wirtschaft wird</w:t>
      </w:r>
    </w:p>
    <w:p>
      <w:r>
        <w:t>F-5535/2023 Seite 6 dominiert durch das Militär und religiöse Stiftungen, die in erster Linie sich selbst bereichern (vgl. &lt; https://www.bpb.de &gt; Themen &gt; Internationales &gt; Naher &amp; Mittlerer Osten &gt; Iran, abgerufen am 07.08.2024). Seit September 2022 ist die Sicherheitslage im Land angespannt und es kann aufgrund der anhaltenden Repression durch die Sicherheitskräfte weiterhin zu (sponta- nen) Protesten kommen. Polizei- und Sicherheitskräfte können gewaltsam gegen Demonstrierende vorgehen. Die Kommunikationsdienste sind weit- gehend eingeschränkt (insbesondere mobiles Internet, Instagram, Whats- App, VPNs). Im Iran kommt es, vor allem in Grenzregionen, sporadisch zu Zwischenfällen mit terroristischem Hintergrund. Besonders betroffen sind auch die Grenzgebiete zu Irak, wozu auch Kermanshah zu zählen ist (vgl. &lt; https://www.auswaertiges-amt.de &gt; Sicher Reisen &gt; Reise- und Sicher- heitshinweise, abgerufen am 07.08.2024).</w:t>
      </w:r>
    </w:p>
    <w:p>
      <w:r>
        <w:rPr>
          <w:b/>
        </w:rPr>
        <w:t>E. 4.3</w:t>
      </w:r>
    </w:p>
    <w:p>
      <w:r>
        <w:t>Vor diesem Hintergrund ist nicht zu beanstanden, dass die Vorinstanz das Risiko einer nicht fristgerechten Wiederausreise von Besucherinnen und Besuchern aus dem Iran allgemein als hoch einschätzt.</w:t>
      </w:r>
    </w:p>
    <w:p>
      <w:r>
        <w:rPr>
          <w:b/>
        </w:rPr>
        <w:t>E. 4.4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beziehungsweise wirtschaftliche Situation sowie deren Interessenlage miteinzubeziehen (BVGE 2014/1 E. 6.3.1). Obliegt einer gesuchstellenden Person im Hei- 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 derrechtlich nicht regelkonformen Verhaltens nach einer bewilligten Ein- reise als hoch eingeschätzt werden (BVGE 2014/1 E. 6.3.1; 2009/27 E. 8). Zudem ist ein im Zielland Schweiz bestehendes, minimales soziales Be- ziehungsnetz aus Verwandten oder Freunden ein wichtiges Element, das den Entscheid, dorthin auszuwandern, erleichtern kann. Angesichts der restriktiven Zulassungsregelung führt dies nicht selten zur Umgehung von ausländer-rechtlichen Bestimmungen, indem die Gesuchstellenden – ein- mal eingereist – versuchen, den Aufenthalt auf eine andere rechtliche Ba- sis abzustützen (BVGE 2014/1 E. 6.2.2).</w:t>
      </w:r>
    </w:p>
    <w:p>
      <w:r>
        <w:rPr>
          <w:b/>
        </w:rPr>
        <w:t>E. 5.1</w:t>
      </w:r>
    </w:p>
    <w:p>
      <w:r>
        <w:t>F-5535/2023 Seite 7</w:t>
      </w:r>
    </w:p>
    <w:p>
      <w:r>
        <w:rPr>
          <w:b/>
        </w:rPr>
        <w:t>E. 5.1.1</w:t>
      </w:r>
    </w:p>
    <w:p>
      <w:r>
        <w:t>Die Beschwerdeführenden führen in Bezug auf die beruflichen, sozi- alen und familiären Verpflichtungen der Gesuchstellenden aus, diese hät- ten ihr ganzes Leben im Iran verbracht, seien dort geboren, verwurzelt, hätten ihre Kinder dort grossgezogen, hätten zeitlebens dort gearbeitet und sich eine Existenz aufgebaut. Sie würden im Iran ihren Lebensabend ver- bringen wollen. Mit der Feststellung, dass sie keine starke Bindung an den Heimatstaat hätten, werde der Ermessensspielraum in unzulässiger Weise weit überschritten.</w:t>
      </w:r>
    </w:p>
    <w:p>
      <w:r>
        <w:rPr>
          <w:b/>
        </w:rPr>
        <w:t>E. 5.1.2</w:t>
      </w:r>
    </w:p>
    <w:p>
      <w:r>
        <w:t>Bei den Gesuchstellenden handelt es sich um die (…)- und (…)-jäh- rigen Eltern der Beschwerdeführerin 1 und Schwiegereltern des Beschwer- deführers 2. Sie leben in einer in ihrem Eigentum stehenden Wohnung. Obwohl bei den Gesuchstellenden – da sie ihr ganzes Leben im Iran ver- bracht haben und dort ihre Kinder grossgezogen haben – zweifelsohne eine beträchtliche Verwurzelung im Iran vorliegen dürfte, gelingt es ihnen nicht darzulegen, inwiefern ihnen in der Heimat besondere gesellschaftli- che oder familiäre Verpflichtungen obliegen würden. Vielmehr ist aufgrund der beantragten Visumsdauer von rund zwei Monaten von einer weitge- henden Ungebundenheit auszugehen. Gesellschaftliche Verpflichtungen werden keine geltend gemacht. Familiär ist einzig bekannt, dass die einzi- gen beiden Kinder der Gesuchstellenden in der Schweiz leben. Über wei- tere Verwandte fehlen jegliche Informationen, weshalb davon auszugehen ist, dass sich das engste familiäre Umfeld der Gesuchstellenden in der Schweiz befindet. Sie verfügen in der Schweiz durch die hier lebenden Kin- der (Tochter sowie Sohn) sowie mindestens ein Enkelkind über ein vorbe- stehendes familiäres Beziehungsnetz, was das Emigrationsrisiko erhöht (vgl. E. 4.4). Da es sich bei den Gesuchstellenden um Rentner handelt, verfügen sie auch über keine beruflichen Verpflichtungen.</w:t>
      </w:r>
    </w:p>
    <w:p>
      <w:r>
        <w:rPr>
          <w:b/>
        </w:rPr>
        <w:t>E. 5.2.1</w:t>
      </w:r>
    </w:p>
    <w:p>
      <w:r>
        <w:t>Sodann führen die Beschwerdeführenden in Bezug auf die wirtschaft- lichen Verhältnisse der Gesuchstellenden aus, sie würden eine regelmäs- sige Rente erhalten und in einem Haus leben, welches in ihrem Eigentum stehe. Das Bundesgericht sei im Urteil 2C_5/2017 vom 23. Juni 2017 da- von ausgegangen, dass die dortigen Beschwerdeführenden in guten Ver- hältnissen leben würden, weil sie im Heimatland Pakistan Eigentümer einer Liegenschaft mit Sanitäranlagen und elektrischer Ausstattung gewesen seien. In casu würde aber ausgewiesenes, selbstbewohntes Wohneigen- tum im Heimatland nicht ausreichen, um gute wirtschaftliche Verhältnisse zu begründen und ein Visum für einen Besuch in der Schweiz zu gewäh- ren. Um im erwähnten Entscheid einen dauerhaften Aufenthalt in der</w:t>
      </w:r>
    </w:p>
    <w:p>
      <w:r>
        <w:t>F-5535/2023 Seite 8 Schweiz zu verweigern, habe Wohneigentum dann doch gute wirtschaftli- che Verhältnisse begründen können. Die Ermessensausübung der Vor- instanz sei dabei rechtsmissbräuchlich und willkürlich erfolgt.</w:t>
      </w:r>
    </w:p>
    <w:p>
      <w:r>
        <w:rPr>
          <w:b/>
        </w:rPr>
        <w:t>E. 5.2.2</w:t>
      </w:r>
    </w:p>
    <w:p>
      <w:r>
        <w:t>In Bezug auf die wirtschaftlichen Verhältnisse ist aktenkundig, dass die Gesuchstellenden pensioniert sind und gemeinsam eine Rente von mo- natlich umgerechnet rund Fr. 2'530.– erzielen (Umrechnungskurs am 16. August 2024). Das – soweit ersichtlich – im Eigentum der Gesuchstel- lerin stehende Grundstück kaufte diese am 29. Oktober 2016 zu einem Kaufpreis von 38'144'653 iranischen Rial (Fr. 1'187.–; Umrechnungskurs am 29. Oktober 2016). Wie hoch der heutige Marktwert des Grundstücks ist, wird weder dargelegt noch belegt. Gemäss Bankbestätigungen verfüg- ten die Gesuchstellenden im Juli 2023 über ein Vermögen von umgerech- net rund Fr. 11'000.– (Umrechnungskurs am 16.08.2024). Die dargelegten wirtschaftlichen Verhältnisse können zwar als durchschnittlich bis gut – je- doch nicht als ausserordentlich gut – bezeichnet werden. Sie sind im vor- liegenden Fall für sich alleine noch nicht geeignet, die Prognose für eine fristgerechte Wiederausreise zu begünstigen. Denn selbst wenn sich die Gesuchstellenden in einer für die lokalen Verhältnisse guten wirtschaftli- chen Situation befinden, vermag dies sie nicht verlässlich daran zu hindern, das Herkunftsland dauerhaft zu verlassen, da Grundeigentum und andere Vermögenswerte bei einer Emigration nicht zwingend verloren gehen (vgl. BVGE 2014/1 E. 6.3.6; Urteil des BVGer F-5892/2023 vom 29. April 2024 E. 4.4). Daran vermag auch das von den Beschwerdeführenden zitierte Ur- teil des BGer 2C_5/2017 nichts zu ändern. So hat betreffend die Gewähr- leistung der fristgerechten Wiederausreise stets eine Einzelfallabwägung zu erfolgen. Es wäre zu kurz gegriffen, dabei einzig auf die Frage des Vor- liegens eines Grundstückeigentums abzustellen.</w:t>
      </w:r>
    </w:p>
    <w:p>
      <w:r>
        <w:rPr>
          <w:b/>
        </w:rPr>
        <w:t>E. 5.2.3</w:t>
      </w:r>
    </w:p>
    <w:p>
      <w:r>
        <w:t>Vor diesem Hintergrund kann auch in Berücksichtigung der einge- reichten Unterlagen nicht von einer massgeblichen wirtschaftlichen Veran- kerung der Gesuchstellenden ausgegangen werden, welche die Gefahr ei- nes Verbleibens in der Schweiz beziehungsweise im Schengen-Raum über den deklarierten Zeitpunkt hinaus als unwahrscheinlich erscheinen liesse. Dies gilt insbesondere auch unter Berücksichtigung der fehlenden familiä- ren und gesellschaftlichen Verpflichtungen im Heimatstaat und dem beste- henden familiären Beziehungsnetz in der Schweiz.</w:t>
      </w:r>
    </w:p>
    <w:p>
      <w:r>
        <w:rPr>
          <w:b/>
        </w:rPr>
        <w:t>E. 5.3</w:t>
      </w:r>
    </w:p>
    <w:p>
      <w:r>
        <w:t>Die Vorinstanz geht demnach zu Recht davon aus, die fristgerechte Wiederausreise der Gesuchstellenden fortgeschrittenen Alters sei nicht hinreichend gesichert. Daran vermag der Umstand, dass die</w:t>
      </w:r>
    </w:p>
    <w:p>
      <w:r>
        <w:t>F-5535/2023 Seite 9 Gesuchstellerin bereits früher drei Mal in den Schengen-Raum eingereist war (gemäss eigenen Aussagen in den Jahren 2011, 2015 und 2017), nichts zu ändern. Die Entscheidung über die Visumserteilung hat aufgrund der derzeitigen Situation im Herkunftsland und der aktuellen persönlichen Umstände zu erfolgen. Sodann war die damalige Ausgangslage auch eine andere, liess doch die Gesuchstellerin jeweils ihren Ehemann im Iran zu- rück, wogegen beim vorliegenden Visumsantrag beide Ehegatten gemein- sam in die Schweiz zu reisen gedenken.</w:t>
      </w:r>
    </w:p>
    <w:p>
      <w:r>
        <w:rPr>
          <w:b/>
        </w:rPr>
        <w:t>E. 6.1</w:t>
      </w:r>
    </w:p>
    <w:p>
      <w:r>
        <w:t>Unter Berücksichtigung der allgemeinen Situation im Herkunftsland und vor dem dargelegten persönlichen Hintergrund durfte die Vorinstanz davon ausgehen, dass keine hinreichende Gewähr für eine fristgerechte und anstandslose Wiederausreise der Gesuchstellenden nach einem Be- suchsaufenthalt besteht. Zwar ist der infrage stehende Aufenthaltszweck– nämlich ein rund zweimonatiger Besuch bei ihrer in der Schweiz lebenden Tochter und dem Schwiegersohn – zeitlich und inhaltlich klar umrissen; dennoch lassen die persönlichen Lebensumstände der Gesuchstellenden im Iran – soweit bekannt – nicht auf eine ausreichende Gewähr für die frist- gerechte Wiederausreise schliessen.</w:t>
      </w:r>
    </w:p>
    <w:p>
      <w:r>
        <w:rPr>
          <w:b/>
        </w:rPr>
        <w:t>E. 6.2</w:t>
      </w:r>
    </w:p>
    <w:p>
      <w:r>
        <w:t>An dieser Einschätzung vermag die von den Beschwerdeführenden un- terzeichnete Verpflichtungserklärung nichts zu ändern. An ihren guten Ab- sichten ist hierbei nicht zu zweifeln. Jedoch gilt es zu bedenken, dass sie in ihrer Eigenschaft als Gastgeber zwar für gewisse finanzielle Risiken Ga- rantie leisten können, nicht aber – mangels rechtlicher und faktischer Durchsetzbarkeit – für ein bestimmtes Verhalten der eingeladenen Perso- nen (vgl. BVGE 2014/1 E. 6.3.7 und BVGE 2009/27 E. 9).</w:t>
      </w:r>
    </w:p>
    <w:p>
      <w:r>
        <w:rPr>
          <w:b/>
        </w:rPr>
        <w:t>E. 7</w:t>
      </w:r>
    </w:p>
    <w:p>
      <w:r>
        <w:t>Es ist in der Folge zu prüfen, ob ein Visum mit räumlich beschränkter Gül- tigkeit erteilt werden kann (vgl. E. 3.4).</w:t>
      </w:r>
    </w:p>
    <w:p>
      <w:r>
        <w:rPr>
          <w:b/>
        </w:rPr>
        <w:t>E. 7.1</w:t>
      </w:r>
    </w:p>
    <w:p>
      <w:r>
        <w:t>Die Beschwerdeführenden bringen vor, gemäss Bundesgericht könne es das geschützte Recht auf Achtung des Privat- und Familienlebens ver- letzen, wenn einem Ausländer, dessen Familienangehörige hier weilen, die Anwesenheit untersagt und damit das Familienleben vereitelt werde. Mit der Voraussetzung einer besonderen, über das übliche Mass hinausge- henden Verpflichtung werde der sich aus Art. 8 EMRK beziehungsweise Art. 13 BV ergebende Anspruch auf Familienleben in missbräuchlicher An- wendung des Ermessens verunmöglicht.</w:t>
      </w:r>
    </w:p>
    <w:p>
      <w:r>
        <w:t>F-5535/2023 Seite 10</w:t>
      </w:r>
    </w:p>
    <w:p>
      <w:r>
        <w:rPr>
          <w:b/>
        </w:rPr>
        <w:t>E. 7.2</w:t>
      </w:r>
    </w:p>
    <w:p>
      <w:r>
        <w:t>Die Beziehung zwischen den Gesuchstellenden und ihrer volljährigen Tochter (der Beschwerdeführerin 1) fällt nicht in den Schutzbereich des Rechts auf Achtung des Familienlebens gemäss Art. 8 Ziff. 1 EMRK (BGE 144 I 266 E. 3.3; 144 II 1 E. 6.1; 137 I 154 E. 3.4.2). Davon abgesehen kann den Beteiligten zugemutet werden, familiäre Kontakte ausserhalb der Schweiz oder mit modernen Kommunikationsmitteln zu pflegen und sich allenfalls in einem Drittstaat zu treffen (BGE 143 I 21 E. 5.1; 135 I 143 E. 2.2; BVGE 2011/48 E. 6.3.1; Urteil des BVGer F-5724/2023 vom 21. Mai 2024 E. 7.3), zumal aus der Absicht der Gesuchstellenden, in die Schweiz zu reisen, ersichtlich wird, dass sie reisefähig sind. Den Beschwerdefüh- renden wäre es (als anerkannte Flüchtlinge und Inhaber einer Aufenthalts- bewilligung; vgl. Art. 59 Abs. 2 Bst. a AIG) grundsätzlich möglich, ihre El- tern in einem Drittstaat zu treffen.</w:t>
      </w:r>
    </w:p>
    <w:p>
      <w:r>
        <w:rPr>
          <w:b/>
        </w:rPr>
        <w:t>E. 7.3</w:t>
      </w:r>
    </w:p>
    <w:p>
      <w:r>
        <w:t>Weitere Gründe humanitärer oder anderer Art, welche die Erteilung ei- nes Visums mit räumlich beschränkter Gültigkeit rechtfertigen könnten, wurden nicht geltend gemacht und sind auch nicht ersichtlich.</w:t>
      </w:r>
    </w:p>
    <w:p>
      <w:r>
        <w:rPr>
          <w:b/>
        </w:rPr>
        <w:t>E. 8</w:t>
      </w:r>
    </w:p>
    <w:p>
      <w:r>
        <w:t>Die angefochtene Verfügung erweist sich somit im Lichte von Art. 49 VwVG als rechtmässig und die Beschwerde ist abzuweisen.</w:t>
      </w:r>
    </w:p>
    <w:p>
      <w:r>
        <w:rPr>
          <w:b/>
        </w:rPr>
        <w:t>E. 9</w:t>
      </w:r>
    </w:p>
    <w:p>
      <w:r>
        <w:t>Bei diesem Ausgang des Verfahrens sind die Kosten den Beschwerdefüh- renden aufzuerlegen (vgl. Art. 63 Abs. 1 VwVG i.V.m. Art. 1 ff. des Regle- ments vom 21. Februar 2008 über die Kosten und Entschädigungen vor dem Bundesverwaltungsgericht [VGKE, SR 173.320.2]). Sie sind durch den am 6. November 2023 in gleicher Höhe geleisteten Kostenvorschuss gedeckt. (Dispositiv nächste Seite)</w:t>
      </w:r>
    </w:p>
    <w:p>
      <w:r>
        <w:t>F-5535/2023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