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F-552/2022 vom 31. Oktober 2023</w:t>
      </w:r>
    </w:p>
    <w:p>
      <w:r>
        <w:t>Bundesverwaltungsgericht, 2023-10-31, FR</w:t>
      </w:r>
    </w:p>
    <w:p>
      <w:r>
        <w:rPr>
          <w:b/>
        </w:rPr>
        <w:t xml:space="preserve">Quelle: </w:t>
      </w:r>
      <w:r>
        <w:t>https://mcp.opencaselaw.ch/entscheid/bvger_F-552_2022</w:t>
      </w:r>
    </w:p>
    <w:p>
      <w:r>
        <w:t>FR: TAF F-552/2022 du 31 octobre 2023</w:t>
      </w:r>
    </w:p>
    <w:p>
      <w:r>
        <w:t>IT: TAF F-552/2022 del 31 ottobre 2023</w:t>
      </w:r>
    </w:p>
    <w:p>
      <w:pPr>
        <w:pStyle w:val="Heading2"/>
      </w:pPr>
      <w:r>
        <w:t>Regeste</w:t>
      </w:r>
    </w:p>
    <w:p>
      <w:r>
        <w:t>Droit à la rente</w:t>
      </w:r>
    </w:p>
    <w:p>
      <w:pPr>
        <w:pStyle w:val="Heading2"/>
      </w:pPr>
      <w:r>
        <w:t>Erwägungen</w:t>
      </w:r>
    </w:p>
    <w:p>
      <w:r>
        <w:rPr>
          <w:b/>
        </w:rPr>
        <w:t>E. 1</w:t>
      </w:r>
    </w:p>
    <w:p>
      <w:r>
        <w:t>Cervico-brachialgie chronique droite, potentiellement radiculaire intermittente (ICD-10 M54.82/54.12), ostéochondroses multisegmentaires et arthroses uncovertébrales C4-C7, discrète hernie</w:t>
      </w:r>
    </w:p>
    <w:p>
      <w:r>
        <w:t>F-552/2022 Page 3 discale médiane calcifiée C4/C5, sténose foraminale C6/C7 gauche, principalement d'origine osseuse, pas de signes de myélon et/ou de neurocompression (CT cervical du 07.07.2020/18.08.2021), dysbalance musculaire de type ceinture scapulaire/nuqueuse avec des tendomyoses du muscle trapèze pars descendens et muscuIus levator scapulae droit, hypesthésie clinique non attribuable à la neuroradiologie, la plus probablement C7 droite, traumatisme de la colonne vertébrale 12/2016 et traumatisme de la colonne vertébrale 03/2010 dans le cadre d'accidents de la route, chronicisation croissante de la douleur ;</w:t>
      </w:r>
    </w:p>
    <w:p>
      <w:r>
        <w:rPr>
          <w:b/>
        </w:rPr>
        <w:t>E. 1.1</w:t>
      </w:r>
    </w:p>
    <w:p>
      <w:r>
        <w:t>Sous réserve des exceptions – non réalisées en l'espèce – prévues à l'art. 32 LTAF, le Tribunal de céans connaît, en vertu de l'art. 31 LTAF en relation avec l'art. 33 let. d LTAF et l'art. 69 al. 1 let. b LAI (RS 831.20), des recours interjetés par des personnes résidant à l'étranger contre les décisions au sens de l’art. 5 PA prises par l'OAIE.</w:t>
      </w:r>
    </w:p>
    <w:p>
      <w:r>
        <w:rPr>
          <w:b/>
        </w:rPr>
        <w:t>E. 1.2</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le recours est recevable. 2. Le Tribunal administratif fédéral applique le droit d'office, sans être lié par les motifs invoqués par les parties (art. 62 al. 4 PA ; ATAF 2013/46 consid. 3.2), ni par l'argumentation juridique développée dans la décision entreprise (ATAF 2014/24 consid. 2.2 ; 2009/57 consid. 1.2 ; arrêt du TF 1C_214/2015 du 6 novembre 2015 consid. 2.2.2). Aussi peut-il admettre</w:t>
      </w:r>
    </w:p>
    <w:p>
      <w:r>
        <w:t>F-552/2022 Page 6 ou rejeter le pourvoi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2</w:t>
      </w:r>
    </w:p>
    <w:p>
      <w:r>
        <w:t>Epicondylopathie chronique huméro-radiale droite, possiblement secondaire dans le cadre du diagnostic 1 (CIM-10 M77.1) ;</w:t>
      </w:r>
    </w:p>
    <w:p>
      <w:r>
        <w:rPr>
          <w:b/>
        </w:rPr>
        <w:t>E. 3</w:t>
      </w:r>
    </w:p>
    <w:p>
      <w:r>
        <w:t>avril 2020 a été fixé à 51’503.- francs. La perte de gain a dès lors été chiffrée à 22%. Un degré d’invalidité inférieur à 40% n’ouvrant pas le droit à la rente, celui-ci a été nié.</w:t>
      </w:r>
    </w:p>
    <w:p>
      <w:r>
        <w:rPr>
          <w:b/>
        </w:rPr>
        <w:t>E. 3.1</w:t>
      </w:r>
    </w:p>
    <w:p>
      <w:r>
        <w:t>En procédure administrative contentieuse, ne peuvent être examinés et jugés, en principe, que les rapports juridiques à propos desquels l'autorité administrative compétente s'est prononcée préalablement d'une manière qui la lie, sous la forme d'une décision. Cette dernière détermine l'objet de la contestation (" Anfechtungsgegenstand "), qui peut être déféré en justice par la voie d'un recours (ATF 134 V 418 consid. 5.2). Quant à l'objet du litige (" Streitgegenstand "), il est défini par trois éléments, à savoir l'objet de la contestation, les conclusions du recours (" petitum ") et, accessoirement, les motifs de celui-ci. Le contenu de la décision attaquée, plus particulièrement son dispositif, délimite l'objet du litige. En vertu du principe de l'unité de la procédure, l'autorité de recours ne peut ainsi statuer que sur les prétentions ou les rapports juridiques sur lesquels l'autorité inférieure s'est déjà prononcée ou aurait dû le faire, sous la forme d'une décision (ATF 134 V 418 consid. 5.2; arrêt du TF 2C_612/2007 du 7 avril 2008 consid. 4.1). Ainsi, l'objet du litige ne saurait s'étendre au-delà de l'objet de la contestation, qui est circonscrit par le dispositif de la décision entreprise (ATF 142 I 155 consid. 4.4.2; cf. aussi, arrêt du TAF F-157/2017 du 3 décembre 2018 consid. 3.1; MOOR/ POLTIER, Droit administratif, vol. II, 3e éd. 2011, p. 291 s.). Le recourant ne peut que réduire l'objet du litige par rapport à l'objet de la contestation; il ne peut l'élargir ou le modifier, dès lors que cela amènerait à une violation de la compétence fonctionnelle de l'autorité supérieure (cf. ATAF 2020 VII/2 consid. 4.3.1 et 2014/24 consid. 1.4.1; arrêt du TF 4A_317/2007 du 9 janvier 2008 consid. 4.2.1, non publié in ATF 134 III 224). Il ressort de ce qui précède que les conclusions formulées par le recourant dans ses observations du 10 septembre 2021, dans lesquelles il a sollicité, d’une part, la constatation, par le Tribunal, du caractère accidentel des lésions pour lesquelles il avait sollicité l’octroi d’une rente AI, d’autre part, à l’exercice, par l’OAIE, de son droit de subrogation (art. 72 LPGA ; RS 830.1) vis-à-vis des assurances RC des conducteurs responsables des lésions physiques qui lui ont été occasionnées en 2010 et en 2016 sont</w:t>
      </w:r>
    </w:p>
    <w:p>
      <w:r>
        <w:t>F-552/2022 Page 7 irrecevables dans la présente procédure, dès lors qu’elles sont extrinsèques à l’objet du présent litige précédemment défini.</w:t>
      </w:r>
    </w:p>
    <w:p>
      <w:r>
        <w:rPr>
          <w:b/>
        </w:rPr>
        <w:t>E. 3.2</w:t>
      </w:r>
    </w:p>
    <w:p>
      <w:r>
        <w:t>En l’espèce, l’objet du litige est ainsi limité à l’examen du bien-fondé de la décision de l’OAIE du 27 janvier 2022 rejetant la demande de rente d’invalidité du recourant, au motif que celui-ci ne présentait qu’un degré d’invalidité de 22%. Pour atteindre ce chiffre, l’OAIE a tout d’abord retenu que le recourant présentait une capacité de travail résiduelle de 80 % de travail dans une activité adaptée. Dès lors, l’OAIE a procédé au calcul de l’invalidité en retenant, d’une part un revenu sans invalidité, soit le revenu annuel du recourant dans son activité au sein de l’entreprise « B._______» , soit 66'029.-francs, d’autre part, le revenu avec invalidité, soit celui fixé sur la base du salaire mensuel brut réalisé par un salarié exécutant des tâches simples dans le secteur privé en général et en tenant compte d’un temps de travail hebdomadaire de 41,7 heures par semaine et d’un taux d’abattement de 5%. Dans la mesure où une capacité de travail de 80% demeurait exigible dans une activité adaptée, le revenu avec invalidité réalisable par le recourant à compter du</w:t>
      </w:r>
    </w:p>
    <w:p>
      <w:r>
        <w:rPr>
          <w:b/>
        </w:rPr>
        <w:t>E. 4.1</w:t>
      </w:r>
    </w:p>
    <w:p>
      <w:r>
        <w:t>Le 1er janvier 2022, sont entrées en vigueur les modifications du 19 juin 2020 de la LAI et de la LPGA (Développement de l'AI ; RO 2021 705 ; FF 2020 5535 ; message du Conseil fédéral du 15 février 2017 [FF 2017 2535]), ainsi que les modifications du RAI du 3 novembre 2021 (RO 2021 706). Les droits aux prestations qui sont nés après l'entrée en vigueur de ces modifications doivent être examinés selon les nouvelles normes. Dans la mesure où des droits nés avant le 1er janvier 2022 doivent être examinés, les normes en vigueur jusqu'au 31 décembre 2021 s’appliquent (cf. Circulaire sur l’invalidité et les rentes dans l’assurance-invalidité [CIRAI], valable dès le 1er janvier 2022, état au 1er juillet 2022, ch. 9100 ; Circulaire relative aux dispositions transitoires concernant le système de rentes linéaire [Circ. DT DC AI], valable dès le 1er janvier 2022, état le 1er janvier 2022, ch. 1007 à 1010).</w:t>
      </w:r>
    </w:p>
    <w:p>
      <w:r>
        <w:t>F-552/2022 Page 8 En l'espèce, la décision contestée est certes intervenue après le 1er janvier 2022. Toutefois, compte tenu de l'année d'attente selon l'art. 28 al. 1 let. c LAI, un éventuel droit à la rente aurait pris naissance au plus tard à l'expiration des six mois suivant la demande du 29 octobre 2020, soit en avril 2021 (cf. art. 29 LAI). En conséquence, les normes en vigueur jusqu'au 31 décembre 2021 s'appliquent.</w:t>
      </w:r>
    </w:p>
    <w:p>
      <w:r>
        <w:rPr>
          <w:b/>
        </w:rPr>
        <w:t>E. 4.2</w:t>
      </w:r>
    </w:p>
    <w:p>
      <w:r>
        <w:t>Le recourant étant un ressortissant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de l’assurance-invalidité suisse, doit remplir cumulativement les conditions suivantes : d'une part être invalide au sens de la LPGA et de la LAI (art. 8 LPGA ; art. 4, 28 et 29 al. 1 LAI) ; d'autre part compter au moins trois années entières de cotisations (art. 36 al. 1 LAI). Dans ce cadre, les cotisations versées à une assurance sociale assimilée à un Etat membre de l’UE ou de l'Association européenne</w:t>
      </w:r>
    </w:p>
    <w:p>
      <w:r>
        <w:t>F-552/2022 Page 9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le recourant a versé des cotisations à l'AVS/AI suisse pendant plus de trois ans au total et remplit par conséquent la condition de la durée minimale de cotisations (cf. ci- dessus, let. A). Reste à examiner si, pendant combien de temps et à quel taux il est invalide au sens de la législation suisse.</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t>En vertu de l'art. 7 al. 1 LPGA, dans sa teneur en vigueur jusqu’au 31 décembre 2021 (RO 2020 5137 ; FF 2018 1597),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d’elle (1ère phrase). En Suisse, l'objet assuré n'est donc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6.2</w:t>
      </w:r>
    </w:p>
    <w:p>
      <w:r>
        <w:t>Aux termes de l'art. 28 al. 1 LAI, la personne assurée a droit à une rente d'invalidité aux conditions suivantes : sa capacité de gain ou sa capacité</w:t>
      </w:r>
    </w:p>
    <w:p>
      <w:r>
        <w:t>F-552/2022 Page 10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6.5</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(cf. arrêt du TF 9C_250/2021 du 24 mars 2022 consid. 2.2). S'agissant d'une personne ayant exercé, comme en l’espèce,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9C_250/2021 précité consid. 2.2).</w:t>
      </w:r>
    </w:p>
    <w:p>
      <w:r>
        <w:rPr>
          <w:b/>
        </w:rPr>
        <w:t>E. 6.6</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t>F-552/2022 Page 11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et 9C_59/2010 du 11 juin 2010 consid. 4.1 ; MICHEL VALTERIO, Commentaire, Loi fédérale sur l’assurance-invalidité [LAI], 2018,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tel que des contradictions manifestes ou des éléments essentiels ignorés, ne permet de douter de leur bien-fondé et fiabilité (ATF 137 V 210 consid. 2.2.2 ; 135 V 465 consid. 4.4 ; 125 V 351 consid. 3b/bb). 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 ci à son ou sa patient∙e (ATF 125 V 351 consid. 3b/cc et les réf. cit. ; arrêt du TF I 655/05 du 20 mars 2006 consid. 5.4). Toutefois, le simple fait qu’un rapport médical soit établi à la demande d’une partie et soit produit pendant la procédure ne justifie pas en soi des doutes quant à sa valeur probante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l'expert∙e (ATF 125 V 351 consid. 3b/dd et les réf. cit. ; arrêts du TF 9C_338/2016 du 21 février 2017, publié in : Droit des assurances sociales − Jurisprudence [SVR] 2017 IV n° 49 consid. 5.5 ; 9C_876/2009 du 6 juillet 2010 consid. 2.2 ; 9C_24/2008 du 27 mai 2008 consid. 2.3.2 ;</w:t>
      </w:r>
    </w:p>
    <w:p>
      <w:r>
        <w:t>F-552/2022 Page 12 9C_201/2007 du 29 janvier 2008 consid. 3.2 ; MICHEL VALTERIO, op. cit., art. 57 LAI n° 48 et 49).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 125 V 351 consid. 3b/ee ; MICHEL VALTERIO, op. cit., art. 57 LAI n° 43).</w:t>
      </w:r>
    </w:p>
    <w:p>
      <w:r>
        <w:rPr>
          <w:b/>
        </w:rPr>
        <w:t>E. 6.7</w:t>
      </w:r>
    </w:p>
    <w:p>
      <w:r>
        <w:t>En l’espèce, l’OAIE a fondé son appréciation du degré d’invalidité de A._______ sur le rapport médical du Dr F._______. Dans son rapport d’expertise très circonstancié (22 pages) du 15 octobre 2021, le Dr F._______ a retenu, à titre de diagnostics principaux une cervico- brachialgie chronique droite, potentiellement radiculaire intermittente, (ICD-10 M54.82/54.12), des ostéochondroses multisegmentaires et des arthroses uncovertébrales C4-C7, une discrète hernie discale médiane calcifiée C4/C5, une sténose foraminale C6/C7 gauche, principalement d'origine osseuse, pas de signes de myélon et/ou de neurocompression (CT cervical du 07.07.2020/18.08.2021), une dysbalance musculaire de type ceinture scapulaire/nuqueuse avec des tendomyoses du muscle trapèze pars descendens et muscuIus levator scapulae droit, une hypesthésie clinique non attribuable à la neuroradiologie, la plus probablement C7 droite, un traumatisme de la colonne vertébrale 12/2016 et un traumatisme de la colonne vertébrale 03/2010 dans le cadre d'accidents de la route, chronicisation croissante de la douleur ; une epicondylopathie chronique huméro-radiale droite, possiblement secondaire dans le cadre du diagnostic 1 (CIM-10 M77.1) et une contracture de Dupuytren dig. IV, commençant dig. III droit (CIM-10 M72.0). Le Tribunal constate à cet égard que les différentes pièces médicales versées au dossier ne sont pas en contradiction avec les diagnostics retenus par le Dr. F._______ et relève en outre qu’aucun élément du dossier n’est de nature à remettre factuellement en cause les conclusions de l’expert s’agissant de la fixation du pourcentage de la capacité professionnelle résiduelle du requérant.</w:t>
      </w:r>
    </w:p>
    <w:p>
      <w:r>
        <w:t>F-552/2022 Page 13 Le Tribunal est dès lors amené à conclure que le rapport médical du Dr F._______ remplit les critères jurisprudentiels applicables et que l’OAIE pouvait lui reconnaître une pleine valeur probante. Il peut en conséquence être tenu pour établi, au degré de la vraisemblance prépondérante, que le recourant peut exercer à un taux de 80% une activité adaptée à son état de santé et que, partant, c’est à bon droit que l’OAIE a retenu, sur la base de ce document notamment, une capacité de travail du recourant de 80% dans une activité de substitution.</w:t>
      </w:r>
    </w:p>
    <w:p>
      <w:r>
        <w:rPr>
          <w:b/>
        </w:rPr>
        <w:t>E. 7</w:t>
      </w:r>
    </w:p>
    <w:p>
      <w:r>
        <w:t>Il reste à examiner si le taux d’invalidité retenu par l’OAIE et le pourcentage de diminution de la capacité de gain retenu (22%) est conforme au droit.</w:t>
      </w:r>
    </w:p>
    <w:p>
      <w:r>
        <w:rPr>
          <w:b/>
        </w:rPr>
        <w:t>E. 7.1</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Selon la jurisprudence, à défaut de salaires de référence, un salaire théorique doit être évalué sur la base des statistiques salariales. Pour le marché du travail suisse, il s’agit de se fonder sur les enquêtes sur la structure des salaires (ESS), publiées par l'Office fédéral de la statistique (ATF 148 V 419 consid. 5.2).</w:t>
      </w:r>
    </w:p>
    <w:p>
      <w:r>
        <w:rPr>
          <w:b/>
        </w:rPr>
        <w:t>E. 7.2</w:t>
      </w:r>
    </w:p>
    <w:p>
      <w:r>
        <w:t>Le revenu hypothétique de la personne valide se détermine en principe en établissant au degré de la vraisemblance prépondérante ce qu'elle aurait effectivement pu gagner au moment déterminant – au moment de la naissance (hypothétique) du droit à la rente – si elle était en bonne santé. Le revenu sans invalidité doit être évalué de la manière la plus concrète possible et se déduit en principe du salaire réalisé en dernier lieu par la personne concernée avant l'atteinte à la santé, en tenant compte de l'évolution nominale des salaires. Au regard des capacités professionnelles de la personne concernée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28 consid. 3.3.2 ; 134 V 322 consid. 4.1 ; arrêt du TF 9C_708/2017 du 23 février 2018 consid. 8.1).</w:t>
      </w:r>
    </w:p>
    <w:p>
      <w:r>
        <w:t>F-552/2022 Page 14 Selon la jurisprudence, les salaires avant et après invalidité doivent être pris en compte indexés jusqu'à la date de la survenance du droit théorique éventuel à la rente suite au délai d'attente d'une année (ATF 128 V 174 ; ATF 129 V 222 consid. 4.1 ; MICHEL VALTERIO, op.cit., p. 548 ss n° 2063 ss). Dans le cas d’une révision, le point de référence correspond au moment où la décision attaquée a été rendue (arrêt du Tribunal administratif fédéral du 14 décembre 2015, C-630/2013, consid. 7.2 et référence citée).</w:t>
      </w:r>
    </w:p>
    <w:p>
      <w:r>
        <w:rPr>
          <w:b/>
        </w:rPr>
        <w:t>E. 7.3</w:t>
      </w:r>
    </w:p>
    <w:p>
      <w:r>
        <w:t>Pour obtenir le taux d’invalidité de 22%, l’OAIE a eu recours à la méthode générale. Une telle façon de procéder est conforme au droit, l’intéressé ayant travaillé à temps plein avant le début de son incapacité de travail le 3 avril 2020. S’agissant du calcul de la perte de gain (cf. supra consid. 3), reposant sur les données de l’Office fédéral de la statistique [TA1_tirage_skill_level, Sektor Total, Kompetenzniveau der Tätigkeit 1, Spalte Männer]), il apparaît que le recourant n’a soulevé aucun grief à l’encontre du calcul de comparaison des salaires effectué par l'autorité inférieure. Quoi qu’il en soit, au terme d’une analyse sommaire, le Tribunal constate que le calcul des revenus et leur comparaison opérés par l’autorité intimée ne prête pas le flanc à la critique (cf. supra consid. 3).</w:t>
      </w:r>
    </w:p>
    <w:p>
      <w:r>
        <w:rPr>
          <w:b/>
        </w:rPr>
        <w:t>E. 7.4</w:t>
      </w:r>
    </w:p>
    <w:p>
      <w:r>
        <w:t>Le recourant a produit, en fin de procédure de recours, la copie d’une décision de la Caisse primaire d’assurance maladie (…), (France) lui octroyant une pension d’invalidité. Il s’impose toutefois de rappeler ici que l’invalidité ouvrant droit à des prestations de l’AI suisse se détermine exclusivement d’après le droit suisse (cf. supra consid. 4.4). Aussi, la décision par laquelle l’autorité française a reconnu à l’intéressé un état d’invalidité partiel est sans pertinence pour la présente cause.</w:t>
      </w:r>
    </w:p>
    <w:p>
      <w:r>
        <w:rPr>
          <w:b/>
        </w:rPr>
        <w:t>E. 8</w:t>
      </w:r>
    </w:p>
    <w:p>
      <w:r>
        <w:t>Il résulte de ce qui précède que le recours doit être rejeté, dans la mesure où il est recevable, et la décision du 27 janvier 2022 confirmée.</w:t>
      </w:r>
    </w:p>
    <w:p>
      <w:r>
        <w:rPr>
          <w:b/>
        </w:rPr>
        <w:t>E. 8.1</w:t>
      </w:r>
    </w:p>
    <w:p>
      <w:r>
        <w:t>Vu l’issue de la cause, les frais judiciaires – fixés à 800.- francs – sont mis à la charge du recourant (art. 63 PA en relation avec les art. 2 ss du règlement du 21 février 2008 concernant les frais, dépens et indemnités fixés par le Tribunal administratif fédéral [FITAF, RS 173.320.2]). Ils sont</w:t>
      </w:r>
    </w:p>
    <w:p>
      <w:r>
        <w:t>F-552/2022 Page 15 prélevés sur l'avance de frais du même montant dont elle s'est acquittée au cours de l'instruction.</w:t>
      </w:r>
    </w:p>
    <w:p>
      <w:r>
        <w:rPr>
          <w:b/>
        </w:rPr>
        <w:t>E. 8.2</w:t>
      </w:r>
    </w:p>
    <w:p>
      <w:r>
        <w:t>Il n’est pas alloué d'indemnité de dépens (art. 7 al. 3 FITAF).</w:t>
      </w:r>
    </w:p>
    <w:p>
      <w:r>
        <w:t>dispositif en page suivante</w:t>
      </w:r>
    </w:p>
    <w:p>
      <w:r>
        <w:t>F-552/2022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