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F-5525/2016 vom 14. Dezember 2017</w:t>
      </w:r>
    </w:p>
    <w:p>
      <w:r>
        <w:t>Bundesverwaltungsgericht, 2017-12-14, DE</w:t>
      </w:r>
    </w:p>
    <w:p>
      <w:r>
        <w:rPr>
          <w:b/>
        </w:rPr>
        <w:t xml:space="preserve">Quelle: </w:t>
      </w:r>
      <w:r>
        <w:t>https://mcp.opencaselaw.ch/entscheid/bvger_F-5525_2016</w:t>
      </w:r>
    </w:p>
    <w:p>
      <w:r>
        <w:t>FR: TAF F-5525/2016 du 14 décembre 2017</w:t>
      </w:r>
    </w:p>
    <w:p>
      <w:r>
        <w:t>IT: TAF F-5525/2016 del 14 dicembre 2017</w:t>
      </w:r>
    </w:p>
    <w:p>
      <w:pPr>
        <w:pStyle w:val="Heading2"/>
      </w:pPr>
      <w:r>
        <w:t>Regeste</w:t>
      </w:r>
    </w:p>
    <w:p>
      <w:r>
        <w:t>Einreiseverbot</w:t>
      </w:r>
    </w:p>
    <w:p>
      <w:pPr>
        <w:pStyle w:val="Heading2"/>
      </w:pPr>
      <w:r>
        <w:t>Erwägungen</w:t>
      </w:r>
    </w:p>
    <w:p>
      <w:r>
        <w:rPr>
          <w:b/>
        </w:rPr>
        <w:t>E. 1.1</w:t>
      </w:r>
    </w:p>
    <w:p>
      <w:r>
        <w:t>Verfügungen der Vorinstanz, die ein Einreiseverbot im Sinne von Art. 67 AuG (SR 142.20)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67 Abs. 1 AuG verfügt das SEM - unter Vorbehalt von Abs. 5 - ein Einreiseverbot gegenüber weggewiesenen Ausländerinnen und Ausländern, wenn die Wegweisung nach Art. 64d Abs. 2 Bst. a - c sofort vollstreckt wird (Bst. a) oder die betroffenen Person der Ausreiseverpflichtung nicht innert angesetzter Frist nachgekommen ist (Bst. b). Gemäss Art. 67 Abs. 2 AuG kann das SEM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 Einen Verstoss gegen die öffentliche Sicherheit und Ordnung im Sinne von Art. 67 Abs. 2 Bst. a AuG begeht, wer gesetzliche Vorschriften oder behördliche Verfügungen missachtet (vgl. Art. 80 Abs. 1 Bst. a VZAE [SR 142.201]). Darunter fällt auch die Zuwiderhandlung gegen Normen des Ausländerrechts. Liegt ein solches Verhalten in der Vergangenheit vor, so wird die Gefahr entsprechender zukünftiger Störungen von Gesetzes wegen vermutet (vgl. BVGE 2017 VII/2 E. 4.4, Urteil des Bundesverwaltungsgerichts F-4405/2016 vom 28. Juni 2017 E. 4.2 je m.H.).</w:t>
      </w:r>
    </w:p>
    <w:p>
      <w:r>
        <w:rPr>
          <w:b/>
        </w:rPr>
        <w:t>E. 3.2</w:t>
      </w:r>
    </w:p>
    <w:p>
      <w:r>
        <w:t>Das Einreiseverbot wird für die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Gründen von der Verhängung eines Einreiseverbots absehen oder ein Einreiseverbot vollständig oder vorübergehend aufheben (Art. 67 Abs. 5 AuG).</w:t>
      </w:r>
    </w:p>
    <w:p>
      <w:r>
        <w:rPr>
          <w:b/>
        </w:rPr>
        <w:t>E. 3.3</w:t>
      </w:r>
    </w:p>
    <w:p>
      <w:r>
        <w:t>Wird gegen einen Drittstaatsangehörigen im Sinne von Art. 3 Bst. d der SIS-II-Verordnung vom 20. Dezember 2006 (Abl. L 381/4 vom 28.12.2006) eine Fernhaltemassnahme angeordnet, so wird sie nach Massgabe der Bedeutung des Falls im SIS ausgeschrieben (vgl. Art. 21 und 24 SIS-II-Verordnung). Damit wird der betroffenen Person grundsätzlich die Einreise in das Hoheitsgebiet aller Schengen-Staaten verboten (vgl. Art. 6 Abs. 1 Bst. d i.V.m. Art. 14 Abs. 1 Schengener-Grenzkodex [Kodifizierter Text vom 9. März 2016], SGK; Abl. L 77/1 vom 23.3.2016; Art. 32 Abs. 1 Ziff. v und vi Visakodex [Abl. L 243/1 vom 15.9.2009]). Dabei bleibt es den Mitgliedstaaten unbenommen, aus wichtigen Gründen oder aufgrund internationaler Verpflichtungen die Einreise in ihr Hoheitsgebiet zu gestatten (vgl. Art. 6 Abs. 5 Bst. c SGK und Art. 25 Abs. 1 Bst. a Visakodex).</w:t>
      </w:r>
    </w:p>
    <w:p>
      <w:r>
        <w:rPr>
          <w:b/>
        </w:rPr>
        <w:t>E. 4.1</w:t>
      </w:r>
    </w:p>
    <w:p>
      <w:r>
        <w:t>Die Vorinstanz stützt ihre Verfügung auf den Entscheid des Migrationsamts vom 5. Juni 2015, mit der die Niederlassungsbewilligung des Beschwerdeführers widerrufen wurde, weil sie aufgrund einer zu ehefremden Zwecken eingegangenen Ehe erteilt worden sei (Sachverhalt Bst. A.b). Gestützt auf diese Feststellung hält die Vorinstanz die Anordnung einer Fernhaltemassnahme für angezeigt, da dieses Verhalten einen ernstzunehmenden Verstoss gegen die öffentliche Sicherheit und Ordnung darstelle.</w:t>
      </w:r>
    </w:p>
    <w:p>
      <w:r>
        <w:rPr>
          <w:b/>
        </w:rPr>
        <w:t>E. 4.2</w:t>
      </w:r>
    </w:p>
    <w:p>
      <w:r>
        <w:t>Der Beschwerdeführer bestreitet, eine Scheinehe eingegangen zu sein. Die Verfügung des Migrationsamts sei nicht gerichtlich überprüft worden und genüge daher nicht als Basis für die Verhängung eines Einreiseverbots gestützt auf Art. 67 Abs. 2 Bst. a AuG.</w:t>
      </w:r>
    </w:p>
    <w:p>
      <w:r>
        <w:rPr>
          <w:b/>
        </w:rPr>
        <w:t>E. 4.3</w:t>
      </w:r>
    </w:p>
    <w:p>
      <w:r>
        <w:t>Der Beschwerdeführer begründet in keiner Weise, geschweige denn substantiiert, inwiefern der in der Verfügung des Migrationsamts vom 5. Juni 2015 ausführlich und sorgfältig dargelegte Sachverhalt unzutreffend sein soll. Es besteht daher kein Anlass, von der Schlussfolgerung der in Rechtskraft erwachsenen Verfügung, der Beschwerdeführer sei eine Scheinehe eingegangen, abzuweichen (vgl. dort E. 4 S. 7 und E. 6). Entgegen der Auffassung des Beschwerdeführers vermag der blosse Umstand, dass die kantonale Verfügung nicht gerichtlich überprüft wurde, daran nichts zu ändern (vgl. zur Verbindlichkeit von Verfügungen: Tschannen/Zimmerli/Müller, Allgemeines Verwaltungsrecht, 4. Aufl. 2014, § 31 Rz. 1 ff., Kölz/Häner/Bertschi, Verwaltungsverfahren und Verwaltungsrechtspflege des Bundes, 3. Aufl. 2013, N 325 f., Häfelin/Müller/Uhlmann, Allgemeines Verwaltungsrecht, 7. Aufl. 2016, Rz. 868).</w:t>
      </w:r>
    </w:p>
    <w:p>
      <w:r>
        <w:rPr>
          <w:b/>
        </w:rPr>
        <w:t>E. 4.4</w:t>
      </w:r>
    </w:p>
    <w:p>
      <w:r>
        <w:t>Das Eingehen einer Scheinehe wird praxisgemäss als schwerwiegender Verstoss gegen die öffentliche Ordnung angesehen (Art. 67 Abs. 2 Bst. a AuG; vgl. etwa Urteile des Bundesverwaltungsgerichts F-4405/2016 vom 28. Juni 2017 E. 6.2, C-323/2013 vom 14. April 2014 E. 4, C-1483/2012 vom 4. April 2014 E. 5.4 oder C-2348/2012 vom 28. August 2013 E. 4.4). Die eigene Überzeugung des Beschwerdeführers, von ihm werde in Zukunft keine Gefahr mehr ausgehen, ist aufgrund der gegenteiligen gesetzlichen Vermutung (vgl. E. 3.1) nicht massgeblich. Die Voraussetzungen für ein Einreiseverbot gemäss Art. 67 Abs. 2 Bst. a AuG sind somit fraglos erfüllt.</w:t>
      </w:r>
    </w:p>
    <w:p>
      <w:r>
        <w:rPr>
          <w:b/>
        </w:rPr>
        <w:t>E. 5.1</w:t>
      </w:r>
    </w:p>
    <w:p>
      <w:r>
        <w:t>Den Entscheid, ob ein Einreiseverbot anzuordnen und wie es innerhalb des zulässigen zeitlichen Rahmen von bis zu fünf Jahren zu befristen ist, legt Art. 67 Abs. 2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andererseits. Die Stellung der gefährdeten oder verletzten Rechtsgüter, die Besonderheiten des ordnungswidrigen Verhaltens und die persönlichen Verhältnisse des Verfügungsbelasteten bilden dabei den Ausgangspunkt der Überlegungen (vgl. BVGE 2014/20 E 8.1 m.H.).</w:t>
      </w:r>
    </w:p>
    <w:p>
      <w:r>
        <w:rPr>
          <w:b/>
        </w:rPr>
        <w:t>E. 5.2</w:t>
      </w:r>
    </w:p>
    <w:p>
      <w:r>
        <w:t>Der Beschwerdeführer ist mit der Absicht, sich in der Schweiz aufhalten zu können, zum Schein eine Ehe eingegangen. Zu diesem Zweck hat er den Behörden vorgetäuscht, in einer intakten Ehe mit einer hier niedergelassenen Landsfrau zu leben. Dadurch hat er sich erhebliche aufenthaltsrechtliche Vorteile verschafft (zunächst Erteilung und Verlängerung der Aufenthaltsbewilligung, später Erteilung der Niederlassungsbewilligung; vgl. Sachverhalt Bst. A.a). Solches Fehlverhalten wiegt objektiv schwer. Aus dem gezeigten Verhalten ist deshalb auf eine (zukünftige) Gefährdung der öffentlichen Sicherheit und Ordnung zu schliessen. Vor diesem Hintergrund hat das Einreiseverbot spezialpräventiven Charakter, um weiteren illegalen Handlungen des Beschwerdeführers entgegenzuwirken. Zu berücksichtigen ist zudem, dass ausländerrechtlichen Normen im Interesse einer funktionierenden Rechtsordnung eine hohe Bedeutung zukommt. Als gewichtig ist namentlich das generalpräventiv motivierte Interesse anzusehen, die ausländerrechtliche Ordnung durch eine konsequente Massnahmenpraxis zu schützen (vgl. Urteil des Bundesverwaltungsgerichts F-4405/2016 vom 28. Juni 2017 E. 7.2 m.H.). Es besteht somit ein gewichtiges öffentliches Interesse an der Fernhaltung des Beschwerdeführers.</w:t>
      </w:r>
    </w:p>
    <w:p>
      <w:r>
        <w:rPr>
          <w:b/>
        </w:rPr>
        <w:t>E. 5.3</w:t>
      </w:r>
    </w:p>
    <w:p>
      <w:r>
        <w:t>Dem öffentlichen Interesse sind die privaten Interessen des Beschwerdeführers gegenüber zu stellen. In dieser Hinsicht wird geltend gemacht, der Beschwerdeführer sei eine wichtige Ansprechperson für seinen Schwager, der unter "relativ starken kognitiven Beeinträchtigungen" leide und "aufgrund geistiger Retardierung" eine volle IV-Rente beziehe. Der Beschwerdeführer sei eine wichtige Bezugsperson für ihn geworden (vgl. Schreiben des Sozialberatungszentrums vom 5. August 2015, Beschwerdebeilage 3 bzw. Akten SEM 5/23). Dem sich aus diesen Umständen ergebenden privaten Interesse kann kein entscheidendes Gewicht beigemessen werden, zumal der Beschwerdeführer zu Recht selbst nur von "gelegentlichen" Besuchen ausgeht, nachdem ihm die Niederlassungsbewilligung und damit sein Aufenthaltsrecht entzogen worden ist. Dem Interesse an gelegentlichen Besuchen kann, auf begründetes Gesuch hin, durch die zeitweise Aussetzung des Einreiseverbots (Suspension, vgl. Art. 67 Abs. 5 AuG) Rechnung getragen werden.</w:t>
      </w:r>
    </w:p>
    <w:p>
      <w:r>
        <w:rPr>
          <w:b/>
        </w:rPr>
        <w:t>E. 5.4</w:t>
      </w:r>
    </w:p>
    <w:p>
      <w:r>
        <w:t>Eine wertende Gewichtung der sich entgegenstehenden Interessen führt zum Schluss, dass das auf drei Jahre befristete Einreiseverbot auch unter Berücksichtigung der Praxis in vergleichbaren Fällen eine verhältnismässige und angemessene Massnahme zum Schutz der öffentlichen Sicherheit und Ordnung darstellt (vgl. etwa Urteile des Bundesverwaltungsgerichts F-4405/2016 vom 28. Juni 2017, F-3533/2016 vom 31. Mai 2017, C-1483/2012 vom 4. April 2014 oder C-3369/2010 vom 29. Juni 2011).</w:t>
      </w:r>
    </w:p>
    <w:p>
      <w:r>
        <w:rPr>
          <w:b/>
        </w:rPr>
        <w:t>E. 6.1</w:t>
      </w:r>
    </w:p>
    <w:p>
      <w:r>
        <w:t>Zu prüfen bleibt die Rechtmässigkeit der von der Vorinstanz angeordneten Ausschreibung des Einreiseverbots im SIS. In der Beschwerdeschrift (Ziff. 5 S. 4 f.) wird in dieser Hinsicht im Wesentlichen geltend gemacht, der Beschwerdeführer sei nie strafrechtlich in Erscheinung getreten und stelle keine Gefahr für die öffentliche Sicherheit und Ordnung dar. In der Eingabe vom 20. Juni 2017 wird sodann angeführt, der Beschwerdeführer habe eine Arbeitsstelle in Deutschland in Aussicht. Die Deutschen Behörden hätten die Abweisung seines Antrags auf Erteilung eines Einreisevisums mit dem bestehenden Einreiseverbot begründet.</w:t>
      </w:r>
    </w:p>
    <w:p>
      <w:r>
        <w:rPr>
          <w:b/>
        </w:rPr>
        <w:t>E. 6.2</w:t>
      </w:r>
    </w:p>
    <w:p>
      <w:r>
        <w:t>Eine Person, die nicht die Staatsangehörigkeit eines Mitgliedstaates besitzt (Drittstaatangehörige), kann im SIS zur Einreise- und Aufenthaltsverweigerung ausgeschrieben werden, wenn die "Angemessenheit, Relevanz und Bedeutung des Falles" eine solche Massnahme rechtfertigen (Art. 2 und 21 SIS-II-VO). Voraussetzung der Ausschreibung im SIS ist eine nationale Ausschreibung, die gestützt auf eine Entscheidung der zuständigen nationalen Instanzen ergangen ist (Art. 24 Ziff. 1 SIS-II-VO). Die Ausschreibung erfolgt gemäss Art. 24 Ziff. 3 SIS-II-VO, wenn die nationale Ausschreibung darauf beruht, dass der Drittstaatsangehörige ausgewiesen, zurückgewiesen oder abgeschoben worden ist, wobei die Massnahme nicht aufgehoben oder ausgesetzt worden sein darf, ein Verbot der Einreise oder gegebenenfalls ein Verbot des Aufenthalts enthalten oder davon begleitet sein muss und auf der Nichtbeachtung der nationalen Rechtsvorschriften über die Einreise oder den Aufenthalt von Drittstaatsangehörigen beruhen muss.</w:t>
      </w:r>
    </w:p>
    <w:p>
      <w:r>
        <w:rPr>
          <w:b/>
        </w:rPr>
        <w:t>E. 6.3</w:t>
      </w:r>
    </w:p>
    <w:p>
      <w:r>
        <w:t>Insgesamt sind die Voraussetzungen für die Ausschreibung im SIS gemäss Art. 24 Ziff. 3 SIS-II-VO erfüllt: Der Beschwerdeführer kann als Drittstaatangehöriger grundsätzlich zur Einreise- und Aufenthaltsverweigerung im SIS ausgeschrieben werden. Es liegen eine rechtkräftige Wegweisungsverfügung und ein nationales Einreiseverbot vor. Indem der Beschwerdeführer eine Scheinehe eingegangen ist, hat er die "nationalen Rechtsvorschriften über die Einreise oder den Aufenthalt" verletzt (vgl. Art. 118 Abs. 2 AuG, der für das Eingehen einer Ehe zur Umgehung der ausländerrechtlichen Vorschriften eine Freiheitsstrafe von bis zu drei Jahren oder eine Geldstrafe vorsieht). Nicht notwendig ist hingegen, dass eine strafrechtliche Verurteilung vorliegt.</w:t>
      </w:r>
    </w:p>
    <w:p>
      <w:r>
        <w:rPr>
          <w:b/>
        </w:rPr>
        <w:t>E. 6.4</w:t>
      </w:r>
    </w:p>
    <w:p>
      <w:r>
        <w:t>Was die Arbeitsstelle anbelangt, die der Beschwerdeführer nach eigenen Angaben in Aussicht hat, so ist auf das in Art. 25 des Schengener Durchführungsübereinkommens (in der Fassung gemäss Verordnung [EU] Nr. 265/2010 vom 25. März 2010 [ABl. L 85/1 vom 31.3.2010]) vorgesehene Konsultationsverfahren hinzuweisen. Dieses regelt, wann der ausschreibende Vertragsstaat die Einreiseverweigerung gegenüber einem Drittstaatsangehörigen im SIS wieder löscht. Dies wäre dann der Fall, wenn ein anderer Mitgliedsstaat beabsichtigt, dem Beschwerdeführer eine Aufenthaltserlaubnis zu erteilen oder eine solche zusichert. Der Aufenthaltstitel wird nur unter Berücksichtigung der Interessen des ausschreibenden Staates und bei Vorliegen gewichtiger Gründe erteilt. Vorliegend wurde die Schweiz von keiner anderen Vertragspartei konsultiert. Vielmehr haben die Deutschen Behörden die Einreiseerlaubnis gerade mit der Ausschreibung des von der Schweiz verhängten Einreiseverbots im SIS begründet.</w:t>
      </w:r>
    </w:p>
    <w:p>
      <w:r>
        <w:rPr>
          <w:b/>
        </w:rPr>
        <w:t>E. 6.5</w:t>
      </w:r>
    </w:p>
    <w:p>
      <w:r>
        <w:t>Die Ausschreibung des Einreiseverbots im SIS ist daher im vorliegenden Fall gerechtfertigt.</w:t>
      </w:r>
    </w:p>
    <w:p>
      <w:r>
        <w:rPr>
          <w:b/>
        </w:rPr>
        <w:t>E. 7</w:t>
      </w:r>
    </w:p>
    <w:p>
      <w:r>
        <w:t>Aus diesen Erwägungen ergibt sich, dass die angefochtene Verfügung im Lichte von Art. 49 VwVG nicht zu beanstanden ist. Die Beschwerde ist daher abzuweisen.</w:t>
      </w:r>
    </w:p>
    <w:p>
      <w:r>
        <w:rPr>
          <w:b/>
        </w:rPr>
        <w:t>E. 8</w:t>
      </w:r>
    </w:p>
    <w:p>
      <w:r>
        <w:t>Entsprechend dem Ausgang des Verfahrens sind die Kosten dem Beschwerdeführer aufzuerlegen (vgl. Art. 63 Abs. 1 VwVG i.V.m. Art. 1 ff.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