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F-5522/2022 vom 7. Dezember 2022</w:t>
      </w:r>
    </w:p>
    <w:p>
      <w:r>
        <w:t>Bundesverwaltungsgericht, 2022-12-07, DE</w:t>
      </w:r>
    </w:p>
    <w:p>
      <w:r>
        <w:rPr>
          <w:b/>
        </w:rPr>
        <w:t xml:space="preserve">Quelle: </w:t>
      </w:r>
      <w:r>
        <w:t>https://mcp.opencaselaw.ch/entscheid/bvger_F-5522_2022</w:t>
      </w:r>
    </w:p>
    <w:p>
      <w:r>
        <w:t>FR: TAF F-5522/2022 du 7 décembre 2022</w:t>
      </w:r>
    </w:p>
    <w:p>
      <w:r>
        <w:t>IT: TAF F-5522/2022 del 7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für die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 unter Vorbehalt des Nachfolgenden (vgl. nachstehend E. 2) - einzutreten (Art. 108 Abs. 3 AsylG und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durch den Beschwerdeführer beantragte Anerkennung der Flüchtlingseigenschaft und Gewährung des Asyls sowie die Anordnung der vorläufigen Aufnahme bilden demgegenüber nicht Gegenstand des angefochtenen Nichteintretensentscheides und damit auch nicht des vorliegenden Verfahrens. Auf die 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w:t>
      </w:r>
    </w:p>
    <w:p>
      <w:r>
        <w:rPr>
          <w:b/>
        </w:rPr>
        <w:t>E. 3.2</w:t>
      </w:r>
    </w:p>
    <w:p>
      <w:r>
        <w:t>Ein Abgleich der Fingerabdrücke des Beschwerdeführers mit der «Eurodac»-Datenbank ergab, dass er am 11. September 2022 in Österreich um Asyl nachgesucht hatte. Die dortigen Behörden stimmten dem Übernahmeersuchen am 28. September 2022 zu. Die Zustimmung stützte sich auf Art. 18 Abs. 1 Bst. b Dublin-III-VO. Die grundsätzliche Zuständigkeit Österreichs ist somit gegeben. Dass der Beschwerdeführer dort kein Asylgesuch habe stellen wollen, sondern es von Anfang seine Absicht gewesen sei, in die Schweiz zu kommen, ändert daran nichts.</w:t>
      </w:r>
    </w:p>
    <w:p>
      <w:r>
        <w:rPr>
          <w:b/>
        </w:rPr>
        <w:t>E. 4</w:t>
      </w:r>
    </w:p>
    <w:p>
      <w:r>
        <w:t>Das Bundesverwaltungsgericht geht in ständiger Rechtsprechung davon aus, dass das österreichische Asylsystem keine systemischen Mängel im Sinne von Art. 3 Abs. 2 zweiter Satz Dublin-III-VO aufweist (vgl. etwa Urteile des BVGer F-3120/2022 vom 22. Juli 2022 E. 7.2; D-1877/2022 vom 3. Mai 2022 E. 4.4). Die österreichischen Behörden stimmten der Wiederaufnahme des Beschwerdeführers gestützt auf Art. 18 Abs. 1 Bst. b Dublin-III-VO zu. Damit haben sie signalisiert, die Verantwortung für das Asylverfahren zu übernehmen. Der Beschwerdeführer hat in diesem Zusammenhang kein konkretes und ernsthaftes Risiko dargetan, die österreichischen Behörden würden sich weigern, ihn wiederaufzunehmen und seinen Antrag auf internationalen Schutz unter Einhaltung der Regeln der Verfahrensrichtlinie zu prüfen. Unter diesen Umständen ist die Anwendung von Art. 3 Abs. 2 Dublin-III-VO nicht gerechtfertigt.</w:t>
      </w:r>
    </w:p>
    <w:p>
      <w:r>
        <w:rPr>
          <w:b/>
        </w:rPr>
        <w:t>E. 5.1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5.2</w:t>
      </w:r>
    </w:p>
    <w:p>
      <w:r>
        <w:t>Der Beschwerdeführer wurde in Österreich - wenn auch angeblich gegen seinen Willen - als Asylsuchender registriert. Klarzustellen ist, dass die Dublin-III-VO den Schutzsuchenden kein Recht einräumt, den ihren Antrag prüfenden Staat selber auszuwählen (vgl. BVGE 2010/45 E. 8.3). Die Abnahme der Fingerabdrücke von illegal einreisenden ausländischen Personen und Asylsuchenden wiederum stützt sich auf die «Eurodac»-Verordnung und erweist sich somit als legitim (vgl. etwa Urteil des BVGer F-1010/2022 vom 11. März 2022 E. 3.2). Bei einer allfälligen vorübergehenden Einschränkung der ihm zustehenden Aufnahmebedingungen könnte sich der Beschwerdeführer im Übrigen an die österreichischen Behörden wenden und seine Rechte auf dem Rechtsweg einfordern (vgl. Art. 26 der sog. Aufnahmerichtlinie [vollständige Referenz: Richtlinie 2013/33/EU vom 26. Juni 2013 zur Festlegung von Normen für die Aufnahme von Personen, die internationalen Schutz beantragen]).</w:t>
      </w:r>
    </w:p>
    <w:p>
      <w:r>
        <w:rPr>
          <w:b/>
        </w:rPr>
        <w:t>E. 5.3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5.4</w:t>
      </w:r>
    </w:p>
    <w:p>
      <w:r>
        <w:t>Eine solche Situation liegt aufgrund der vom Beschwerdeführer geschilderten Beeinträchtigungen nicht vor. Er gab anlässlich des Dublin-Gesprächs vom 11. Oktober 2022 an, keine physischen Erkrankungen zu haben. Seit er vor drei Tagen vom Dublin-Verfahren erfahren habe, gehe es ihm jedoch psychisch sehr schlecht. Er habe nach einem Psychologen in der Unterkunft gefragt, aber ihm sei gesagt worden, dass es keinen gebe. Auf Beschwerdeebene gibt er erneut an, es gehe ihm psychisch nicht gut. Die Vorinstanz stellt demgegenüber in der angefochtenen Verfügung ausführlich dar, inwiefern der Zugang zu medizinischer Grundversorgung in den Bundesasylzentren gewährleistet ist und dass medizinische Akten grundsätzlich an die Rechtsvertretung der asylsuchenden Person weitergeleitet werden. Aus den obigen Aussagen des Beschwerdeführers sowie aus dem Umstand, dass weder er noch seine Rechtsvertretung in der Zeit zwischen dem Dublin-Gespräch am 11. Oktober 2022 und dem Erlass der angefochtenen Verfügung am 24. November 2022 medizinische Unterlagen einreichten, durfte das SEM deshalb schliessen, dass der Gesundheitszustand des Beschwerdeführers eine Unzulässigkeit des Wegweisungsvollzugs im Sinne der restriktiven Rechtsprechung nicht zu rechtfertigen vermag. Auch ist unter den vorliegenden Umständen und in Anbetracht der medizinischen Infrastruktur in Österreich (vgl. nachstehend E. 5.5) nicht zu beanstanden, dass die Vorinstanz diesbezüglich keine weiteren Abklärungen getätigt hat (zur antizipierten Beweiswürdigung vgl. etwa BGE 141 I 60 E. 3.3).</w:t>
      </w:r>
    </w:p>
    <w:p>
      <w:r>
        <w:rPr>
          <w:b/>
        </w:rPr>
        <w:t>E. 5.5</w:t>
      </w:r>
    </w:p>
    <w:p>
      <w:r>
        <w:t>Es ist darauf hinzuweisen, dass Österreich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Im Übrigen trägt die Vorinstanz seinem aktuellen Gesundheitszustand bei der Organisation der Überstellung Rechnung, indem sie die dortigen Behörden über seinen Zustand und eine allfällig notwendige medizinische Behandlung informiert. Dies ist vorliegend in der Beschreibung der Überstellungsmodalitäten geschehen.</w:t>
      </w:r>
    </w:p>
    <w:p>
      <w:r>
        <w:rPr>
          <w:b/>
        </w:rPr>
        <w:t>E. 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Nach dem Gesagten besteht kein Grund für eine Anwendung der Ermessensklauseln von Art. 17 Dublin-III-VO. Somit bleibt Österreich der für die Behandlung des Asylgesuches des Beschwerdeführers zuständige Mitgliedstaat gemäss Dublin-III-VO.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Österreich in Anwendung von Art. 44 AsylG ebenfalls zu Recht angeordnet (Art. 32 Bst. a AsylV 1).</w:t>
      </w:r>
    </w:p>
    <w:p>
      <w:r>
        <w:rPr>
          <w:b/>
        </w:rPr>
        <w:t>E. 9</w:t>
      </w:r>
    </w:p>
    <w:p>
      <w:r>
        <w:t>Nach dem Gesagten ist die Beschwerde abzuweisen, soweit darauf einzutreten ist, und die Verfügung des SEM ist zu bestätigen.</w:t>
      </w:r>
    </w:p>
    <w:p>
      <w:r>
        <w:rPr>
          <w:b/>
        </w:rPr>
        <w:t>E. 10</w:t>
      </w:r>
    </w:p>
    <w:p>
      <w:r>
        <w:t>Der am 1. Dezember 2022 angeordnete Vollzugsstopp fällt mit vorliegendem Urteil dahin. Das Begehren um Wiederherstellung der aufschiebenden Wirkung erweist sich als gegenstandslos.</w:t>
      </w:r>
    </w:p>
    <w:p>
      <w:r>
        <w:rPr>
          <w:b/>
        </w:rPr>
        <w:t>E. 11</w:t>
      </w:r>
    </w:p>
    <w:p>
      <w:r>
        <w:t>Das in der Beschwerde gestellte Gesuch um Gewährung der unentgeltlichen Rechtspflege ist abzuweisen, da die Begehren - wie sich aus den vorstehenden Erwägungen ergibt - als aussichtslos zu bezeichnen sind. Somit sind die Voraussetzungen von Art. 65 Abs. 1 VwVG und von Art. 102m Abs. 1 Bst. a AsylG nicht erfüllt. Die Verfahrenskosten sind dem Beschwerdeführer aufzuerlegen (Art. 63 Abs. 1 VwVG) und auf insgesamt Fr. 750.-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