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F-5519/2015 vom 12. Juni 2017</w:t>
      </w:r>
    </w:p>
    <w:p>
      <w:r>
        <w:t>Bundesverwaltungsgericht, 2017-06-12, DE</w:t>
      </w:r>
    </w:p>
    <w:p>
      <w:r>
        <w:rPr>
          <w:b/>
        </w:rPr>
        <w:t xml:space="preserve">Quelle: </w:t>
      </w:r>
      <w:r>
        <w:t>https://mcp.opencaselaw.ch/entscheid/bvger_F-5519_2015</w:t>
      </w:r>
    </w:p>
    <w:p>
      <w:r>
        <w:t>FR: TAF F-5519/2015 du 12 juin 2017</w:t>
      </w:r>
    </w:p>
    <w:p>
      <w:r>
        <w:t>IT: TAF F-5519/2015 del 12 giugno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Dem Beschwerdeführer zufolge verfehlt die angefochtene Verfügung ihr Ziel. Seiner Auffassung nach richtet sich das Einreiseverbot gegen eine nur vermeintlich von ihm ausgehende Gefahr für die öffentliche Sicherheit und Ordnung. Mit einem Verhalten, wie es ihm die Vorinstanz vorgeworfen habe, sei jedoch bei künftigen Besuchsaufenthalten nicht mehr zu rechnen.</w:t>
      </w:r>
    </w:p>
    <w:p>
      <w:r>
        <w:rPr>
          <w:b/>
        </w:rPr>
        <w:t>E. 4.1</w:t>
      </w:r>
    </w:p>
    <w:p>
      <w:r>
        <w:t>Landesrechtliche Grundlage der angefochtenen Verfügung vom 3. Juni 2015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m.H.).</w:t>
      </w:r>
    </w:p>
    <w:p>
      <w:r>
        <w:rPr>
          <w:b/>
        </w:rPr>
        <w:t>E. 4.3</w:t>
      </w:r>
    </w:p>
    <w:p>
      <w:r>
        <w:t>Wird gegen eine Person, welche nicht die Staatsangehörigkeit eines Mitgliedstaates der Europäischen Union oder der Europäischen Freihandelsassoziation besitzt, ein Einreiseverbot verhängt, so erfolgt nach Massgabe der Bedeutung des Falles im Schengener Informationssystem (SIS II) die Ausschreibung zur Einreiseverweigerung (vgl. Art. 21 und Art. 24 SIS II-Verordnung sowie Art. 20 - 22 der Verordnung über den nationalen Teil des Schengener Informationssystems (N-SIS) und das SIRENE-Büro [N-SIS-Verordnung vom 8. März 2013, SR 362.0]).</w:t>
      </w:r>
    </w:p>
    <w:p>
      <w:r>
        <w:rPr>
          <w:b/>
        </w:rPr>
        <w:t>E. 5.1</w:t>
      </w:r>
    </w:p>
    <w:p>
      <w:r>
        <w:t>Die Vorinstanz begründet das gegen A._______ verhängte Einreiseverbot zum einen mit der Verursachung von Sozialhilfekosten, der Missachtung finanzieller Verpflichtungen sowie erheblicher Verschuldung. Als anderen Grund nennt sie den Umstand, dass der Beschwerdeführer immer wieder mit Bussen belegt und mit Strafbefehl vom 22. März 2012 wegen mehrfacher Drohung sowie Betrugs zu einer Geldstrafe von 150 Tagessätzen verurteilt worden sei. Vor allem die letztgenannte Verurteilung wiegt aus Sicht der Vorinstanz schwer, habe der Beschwerdeführer doch die Mitarbeiterin einer Versicherung mit dem Tode bedroht und auf betrügerische Weise Sozialhilfe bezogen. Hinsichtlich dieses Strafbefehls ist ergänzend festzustellen, dass von den 150 Tagessätzen 40 Tage für vollziehbar erklärt und 110 Tagessätze, bei einer Probezeit von drei Jahren, bedingt aufgeschoben wurden (vgl. die kantonale Verfügung vom 7. September 2012 [Vorakten S. 1 ff.] E. 3).</w:t>
      </w:r>
    </w:p>
    <w:p>
      <w:r>
        <w:rPr>
          <w:b/>
        </w:rPr>
        <w:t>E. 5.2</w:t>
      </w:r>
    </w:p>
    <w:p>
      <w:r>
        <w:t>Der Beschwerdeführer bestreitet das ihm zur Last gelegte Fehlverhalten nicht. Was die finanzielle Seite angeht - die Verfügung ist insoweit nicht konkret - so ist festzustellen, dass der Beschwerdeführer im Oktober 2011 Schulden von rund Fr. 87'000.- Franken angehäuft hatte, dies trotz seit 1994 wiederholt ausgesprochener Verwarnungen des kantonalen Migra-tionsamts. Hinzu kommt der teils betrügerische Sozialhilfebezug im Zeitraum Januar 2011 bis einschliesslich Januar 2012 (zu Vorstehendem: Urteil des Verwaltungsgerichts des Kantons St. Gallen vom 23. Januar 2015 [Vorakten S. 26 ff.], insbesondere E. 3). Die in der Verfügung erwähnten "immer wieder" erfolgten Bussen werden unter Ziffer 3 der Verfügung des kantonalen Migrationsamts vom 16. August 2015 einzeln aufgeführt (Vorakten S. 1 ff.). Sie sind - mit einer Ausnahme - geringfügiger Art und dürfen im vorliegenden Verfahren unberücksichtigt bleiben. Erwähnte Ausnahme ist eine mit einer Busse von Fr. 500.- einhergehende Verurteilung vom 23. März 2007 wegen Drohung zu 90 Tagessätzen von je Fr. 90.-, dies unter Ansetzung einer Probezeit von drei Jahren. Sie fällt im vorliegenden Verfahren, schon aufgrund des Zeitablaufs, ebenfalls kaum mehr ins Gewicht.</w:t>
      </w:r>
    </w:p>
    <w:p>
      <w:r>
        <w:rPr>
          <w:b/>
        </w:rPr>
        <w:t>E. 5.3</w:t>
      </w:r>
    </w:p>
    <w:p>
      <w:r>
        <w:t>Im Vordergrund des Einreiseverbots stehen nach alledem die Verurteilung vom 22. März 2012, die Verursachung von Sozialhilfekosten sowie die erhebliche Verschuldung des Beschwerdeführers.</w:t>
      </w:r>
    </w:p>
    <w:p>
      <w:r>
        <w:rPr>
          <w:b/>
        </w:rPr>
        <w:t>E. 5.3.1</w:t>
      </w:r>
    </w:p>
    <w:p>
      <w:r>
        <w:t>Die am 22. März 2012 abgeurteilten Straftaten stellen zweifellos Verstösse gegen die öffentliche Sicherheit und Ordnung dar (vgl. Art. 80 Abs. 1 Bst. a VZAE). Ein solcher Verstoss kann sich aber auch aus dem Bestehen privatrechtlicher Schulden ergeben, jedenfalls dann, wenn die Verschuldung mutwillig erfolgt ist (vgl. Art. 80 Abs. 1 Bst. b VZAE; Urteil des BGer 2D_37/2014 vom 9. Februar 2015 E. 2.2 m.H.). Im Falle des Beschwerdeführers hat das Verwaltungsgericht des Kantons St. Gallen eine entsprechendes - zumindest teilweise - mutwilliges Verhalten bejaht (Urteil vom 23. Januar 2015 [Vorakten S. 26 ff.] E. 3.3.2 in fine).</w:t>
      </w:r>
    </w:p>
    <w:p>
      <w:r>
        <w:rPr>
          <w:b/>
        </w:rPr>
        <w:t>E. 5.3.2</w:t>
      </w:r>
    </w:p>
    <w:p>
      <w:r>
        <w:t>Die vom Beschwerdeführer in seiner Rechtsmitteleingabe ausdrücklich geäusserte Überzeugung, von ihm werde künftig keine den vorherigen Verstössen entsprechende Gefahr mehr ausgehen, ist aufgrund der gegenteiligen gesetzlichen Vermutung (vgl. E. 4.2 am Ende) nicht massgeblich. Diese Vermutung kann er weder mit dem Hinweis auf die mittlerweile vollzogene Kehrtwende in seinem Leben widerlegen noch mit dem Argument, von seiner weiteren Verschuldung sei bei künftigen Besuchsaufenthalten nicht auszugehen. Dass der Beschwerdeführer einen Fernhaltegrund im Sinne von Art. 67 Abs. 2 Bst. a AuG gesetzt hat, ist folglich nicht in Abrede zu stellen.</w:t>
      </w:r>
    </w:p>
    <w:p>
      <w:r>
        <w:rPr>
          <w:b/>
        </w:rPr>
        <w:t>E. 5.3.3</w:t>
      </w:r>
    </w:p>
    <w:p>
      <w:r>
        <w:t>Der Fernhaltegrund im Sinne von Art. 67 Abs. 2 Bst. b AuG - die Verursachung von Sozialhilfekosten - fällt entgegen dem Wortlaut erst dann in Betracht, wenn zusätzlich die Gefahr besteht, dass bei einer Wiedereinreise erneut Sozialhilfe- und Rückreisekosten entstehen. Voraussetzung für die Annahme einer solchen Gefahr ist eine gewisse Wahrscheinlichkeit dafür, dass die betroffene Person im Bedarfsfall nicht unverzüglich auf finanzielle Mittel zurückgreifen kann (vgl. Urteil des BVGer C-166/2007 vom 27. August 2007, E. 5.1; Marc Spescha in: Kommentar Migrationsrecht, 4. Aufl. 2014, Art. 67 N 3a, sowie Andrea Binder Oser in: Stämpflis Handkommentar, Bundesgesetz über die Ausländerinnen und Ausländer, 2010, Art. 67 N 10 m.H.). Sie ist im Falle des Beschwerdeführers schon aufgrund seiner bisherigen erheblichen Verschuldung zu bejahen, aber auch aufgrund des früheren teilweise betrügerischen Sozialhilfebezugs. Zudem sind, anders als der Beschwerdeführer behauptet, ausländische Personen mit Wohnsitz im Ausland nicht automatisch von der Sozialhilfe ausgeschlossen (vgl. Art. 21 des Bundesgesetzes vom 24. Juni 1977 über die Zuständigkeit für die Unterstützung Bedürftiger (ZUG; SR 851.1). Im vorliegenden Fall besteht demzufolge auch ein Fernhaltegrund im Sinne von Art. 67 Abs. 2 Bst. b AuG.</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dem Einreiseverbot zugrunde liegenden Verhaltens und die persönlichen Verhältnisse des Verfügungsbelasteten bilden dabei den Ausgangspunkt der Überlegungen (vgl. statt vieler Häfelin et al., Allgemeines Verwaltungsrecht, 7. Aufl. 2016, N 556 f.).</w:t>
      </w:r>
    </w:p>
    <w:p>
      <w:r>
        <w:rPr>
          <w:b/>
        </w:rPr>
        <w:t>E. 6.2</w:t>
      </w:r>
    </w:p>
    <w:p>
      <w:r>
        <w:t>Die vom Beschwerdeführer ausgehende Gefahr - sowohl für die öffentliche Sicherheit und Ordnung als auch für die finanzielle Belastung des Gemeinwesens - spricht für ein erhebliches öffentliches Interesse an seiner Fernhaltung. Das infolgedessen anzuordnende Einreiseverbot hat vor allem spezialpräventiven Charakter: Während seiner Gültigkeit soll es dem Beschwerdeführer die Möglichkeit nehmen, sein strafbares bzw. sozial unerwünschtes Verhalten in der Schweiz und im Schengen-Raum fortzusetzen; danach, bei künftigen Wiedereinreisen, soll es ihn von weiterem entsprechendem Tun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im Hinblick auf die Verurteilungen des Beschwerdeführers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Dass die mit Strafbefehl vom 22. März 2012 angesetzte strafrechtliche Probezeit des Beschwerdeführers bereits abgelaufen ist (vgl. E. 5.1) , bedeutet von daher nicht, dass er nun kein Risiko für die öffentliche Sicherheit und Ordnung mehr darstellen würde.</w:t>
      </w:r>
    </w:p>
    <w:p>
      <w:r>
        <w:rPr>
          <w:b/>
        </w:rPr>
        <w:t>E. 6.3</w:t>
      </w:r>
    </w:p>
    <w:p>
      <w:r>
        <w:t>Dem öffentlichen Interesse sind die privaten Interessen des Beschwerdeführers gegenüberzustellen. Dieser macht im Wesentlichen geltend, seine Tochter und seine Lebenspartnerin lebten in der Schweiz; beide wolle er regelmässig besuchen, werde aber durch das Einreiseverbot daran gehindert. Gestützt auf Art. 8 EMRK müsse es ihm möglich sein, den Umgang mit seiner Partnerin, mit der er seit über sieben Jahren zusammen sei, zu pflegen. Selbst wenn ein dahingehender Eingriff zulässig wäre, erwiese sich die dreijährige Dauer des Einreiseverbots als zu lang.</w:t>
      </w:r>
    </w:p>
    <w:p>
      <w:r>
        <w:rPr>
          <w:b/>
        </w:rPr>
        <w:t>E. 6.4</w:t>
      </w:r>
    </w:p>
    <w:p>
      <w:r>
        <w:t>Fraglich ist, ob die vom Beschwerdeführer erhobenen Einwände überzeugen können, denn auch der durch Art. 8 EMRK gewährte Schutz des Familienlebens, auf den er sich explizit beruft, unterliegt Einschränkungen. Gleiches gilt für den von Art. 8 EMRK mitumfassten Schutz des Privatlebens.</w:t>
      </w:r>
    </w:p>
    <w:p>
      <w:r>
        <w:rPr>
          <w:b/>
        </w:rPr>
        <w:t>E. 6.4.1</w:t>
      </w:r>
    </w:p>
    <w:p>
      <w:r>
        <w:t>Hinsichtlich des behaupteten Familienlebens ist einerseits festzustellen, dass sich der dahingehende Schutz nur auf den Kernbereich der Familie beschränkt. Im Falle des Beschwerdeführers umfasst er die Beziehung zur volljährigen Tochter nicht mehr. Unklar ist, ob die Beziehung zu seiner Partnerin, die er im Aufenthaltsverfahren zunächst als Freundin und erst vor Bundesgericht als Lebenspartnerin bezeichnet hat (vgl. zitiertes Urteil des Bundesgerichts 2C_208/2015 [Vorakten S. 37 ff.] E. 1.3), als schützenswertes Familienleben zu betrachten ist. Sein hiesiges Beschwerdevorbringen ist diesbezüglich dürftig und spricht nicht unbedingt für eine solche Einschätzung, werden doch über blosse Behauptungen hinaus keine Anhaltspunkte dazu geliefert, wie die Partnerschaft konkret gelebt wird und warum sie einer ehelichen Beziehung gleichzustellen wäre.</w:t>
      </w:r>
    </w:p>
    <w:p>
      <w:r>
        <w:rPr>
          <w:b/>
        </w:rPr>
        <w:t>E. 6.4.2</w:t>
      </w:r>
    </w:p>
    <w:p>
      <w:r>
        <w:t>Andererseits wäre im Falle eines mit der Partnerin bestehenden Familienlebens - was das Bundesgericht im Aufenthaltsverfahren nicht mehr geprüft hat - davon auszugehen, dass dieses bereits durch den Verlust der Aufenthaltsbewilligung eine zulässige Einschränkung gemäss Art. 8 Abs. 2 EMRK erfahren hat. Das über den Beschwerdeführer verhängte Einreiseverbot würde darüberhinausgehend eine zusätzliche Einschränkung für die partnerschaftliche Beziehungspflege bedeuten. Eine solche Konsequenz an sich spricht nicht gegen die Verhältnismässigkeit der Massnahme, wäre doch ansonsten das Instrument des Einreiseverbots gegenüber allen Personen mit Angehörigen in der Schweiz unzulässig (Urteil des BGer 2C_270/2015 vom 6. August 2015 E. 8.2). Vielmehr kommt es bei einer im konkreten Fall vorzunehmenden Verhältnismässigkeitsprüfung bzw. Interessenabwägung darauf an, ob die mit der Fernhaltemassnahme einhergehenden privaten Einschränkungen des Familienlebens hinzunehmen sind. Aufgrund der nachfolgenden Erwägungen ist dies im Falle des Beschwerdeführers, selbst bei Bestehen eines Familienlebens im Sinne von Art. 8 Abs. 1 EMRK, zu bejahen.</w:t>
      </w:r>
    </w:p>
    <w:p>
      <w:r>
        <w:rPr>
          <w:b/>
        </w:rPr>
        <w:t>E. 6.4.3</w:t>
      </w:r>
    </w:p>
    <w:p>
      <w:r>
        <w:t>Vor dem Hintergrund derselben Beziehungskonstellationen (Partnerin und Tochter) sind die durch die Fernhaltemassnahme verursachten Einschränkungen des ebenfalls unter den Schutz von Art. 8 Abs. 1 EMRK fallenden Privatlebens genauso zulässig.</w:t>
      </w:r>
    </w:p>
    <w:p>
      <w:r>
        <w:rPr>
          <w:b/>
        </w:rPr>
        <w:t>E. 6.5</w:t>
      </w:r>
    </w:p>
    <w:p>
      <w:r>
        <w:t>In beiderlei Hinsicht ist zu beurteilen, wie gravierend die mit dem Einreiseverbot verbundenen Einschränkungen sind. Diese liegen dem Vorbringen des Beschwerdeführers zufolge einzig darin, dass er während drei Jahren nicht mehr zu Besuchen von Tochter und Partnerin in die Schweiz einreisen darf. Dass er mit beiden Personen keinen anderweitigen persönlichen Kontakt pflegen kann, wird von ihm nicht behauptet und ergibt sich auch aus den Akten nicht. Von daher ist davon auszugehen, dass die Tochter und die Partnerin des Beschwerdeführers diesen durchaus in seinem Heimatland besuchen und damit die gemeinsamen Beziehungen aufrecht erhalten können. Sollte die trotz allem nur reduziert mögliche Beziehungspflege eine über das fehlende Aufenthaltsrecht hinausgehende Einschränkung des Privat- und/oder Familienlebens verursachen, so hätte der Beschwerdeführer dies durch sein eigenes Verhalten sich selbst zuzurechnen und hinzunehmen. Die Voraussetzungen für einen insoweit zusätzlich durch das Einreiseverbot bedingten Eingriff gemäss Art. 8 Ziff. 2 EMRK wären in einem solchen Fall jedenfalls gegeben (zu Vorstehendem: vgl. zitiertes Urteil des BGer 2C_270/2015 E. 8.3).</w:t>
      </w:r>
    </w:p>
    <w:p>
      <w:r>
        <w:rPr>
          <w:b/>
        </w:rPr>
        <w:t>E. 6.6</w:t>
      </w:r>
    </w:p>
    <w:p>
      <w:r>
        <w:t>Die Abwägung der vorliegenden öffentlichen und privaten Interessen führt nach alledem zum Ergebnis, dass das auf drei Jahre befristete Einreiseverbot eine verhältnismässige und auch in Bezug auf die Dauer angemessene Massnahme zum Schutz der öffentlichen Sicherheit und Ordnung darstellt.</w:t>
      </w:r>
    </w:p>
    <w:p>
      <w:r>
        <w:rPr>
          <w:b/>
        </w:rPr>
        <w:t>E. 7</w:t>
      </w:r>
    </w:p>
    <w:p>
      <w:r>
        <w:t>Aus diesen Erwägungen folgt, dass die angefochtene Verfügung Bundesrecht nicht verletzt (vgl. Art. 49 VwVG). Die Beschwerde ist daher abzuweisen.</w:t>
      </w:r>
    </w:p>
    <w:p>
      <w:r>
        <w:rPr>
          <w:b/>
        </w:rPr>
        <w:t>E. 8</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