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F-5515/2022 vom 3. Januar 2024</w:t>
      </w:r>
    </w:p>
    <w:p>
      <w:r>
        <w:t>Bundesverwaltungsgericht, 2024-01-03, DE</w:t>
      </w:r>
    </w:p>
    <w:p>
      <w:r>
        <w:rPr>
          <w:b/>
        </w:rPr>
        <w:t xml:space="preserve">Quelle: </w:t>
      </w:r>
      <w:r>
        <w:t>https://mcp.opencaselaw.ch/entscheid/bvger_F-5515_2022</w:t>
      </w:r>
    </w:p>
    <w:p>
      <w:r>
        <w:t>FR: TAF F-5515/2022 du 3 janvier 2024</w:t>
      </w:r>
    </w:p>
    <w:p>
      <w:r>
        <w:t>IT: TAF F-5515/2022 del 3 gennaio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Gastgeber bzw. Gastgeberin der Ge- suchstellenden durch den angefochtenen Entscheid besonders berührt. Obwohl der ursprünglich angestrebte Besuchszeitraum inzwischen abge- laufen ist, kann auf ein fortbestehendes Rechtsschutzinteresse geschlos- sen werden. Die Beschwerdeführenden sind daher zur Erhebung des Rechtsmittels legitimiert (Art. 48 Abs. 1 VwVG). Auf die frist- und formge- 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F-5515/2022 Seite 4 gutheissen oder abweisen. Massgeblich ist grundsätzlich die Sachlage zum Zeitpunkt seines Entscheids (vgl. BVGE 2020 VII/4 E. 2.2).</w:t>
      </w:r>
    </w:p>
    <w:p>
      <w:r>
        <w:rPr>
          <w:b/>
        </w:rPr>
        <w:t>E. 3.1</w:t>
      </w:r>
    </w:p>
    <w:p>
      <w:r>
        <w:t>Gemäss Art. 12 VwVG stellt die Behörde den Sachverhalt von Amtes wegen fest und bedient sich nötigenfalls der unter Buchstaben a–e aufge- 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 tigt werden (vgl. BVGE 2008/43 E. 7.5.6; siehe ferner BENJAMIN SCHIND- LER, in: Auer/Müller/Schindler [Hrsg.], VwVG-Kommentar, 2. Aufl. 2019, Art. 49 N. 29).</w:t>
      </w:r>
    </w:p>
    <w:p>
      <w:r>
        <w:rPr>
          <w:b/>
        </w:rPr>
        <w:t>E. 3.2</w:t>
      </w:r>
    </w:p>
    <w:p>
      <w:r>
        <w:t>Das dem Bundesverwaltungsgericht von der Vorinstanz zur Verfügung gestellte Aktendossier enthält im Wesentlichen Akten zum Gesuchsteller 1 mit einem Verweis darauf, dass der damit konnexe Visumsantrag der Gesuchstellerin 2 auch abgelehnt worden sei. Die Betreffe der Schreiben des SEM im vorinstanzlichen Verfahren beziehen sich zwar jeweils auf beide Gesuchstellende; allerdings fehlen Hinweise dazu, dass die Akten, welche die Gesuchstellerin 2 betreffen, wie z.B. der Visumsantrag mit Beilagen, überhaupt bei der Vertretung in Colombo eingeholt wurden oder dem kantonalen Migrationsamt zur Stellungnahme und weiteren Abklärung übermittelt worden wären. Aus den Unterlagen der Abklärung des Migra- tionsamtes muss geschlossen werden, dass ihm diese Akten nicht zur Ver- fügung standen, da es zur Gesuchstellerin 2 keine ersichtlichen Abklärun- gen tätigte. Demnach enthält das Voraktendossier weder die Akten zum Visumsantrag der Gesuchstellerin 2 noch dahingehende Abklärungen durch das kantonale Migrationsamt. Das Aktendossier erweist sich somit hinsichtlich der Gesuchstellerin 2 als unvollständig. Daraus folgt, dass der Sachverhalt diesbezüglich ungenügend abgeklärt wurde. Die Vorinstanz hat zwar im Einspracheentscheid kurz begründet, weshalb bei der Gesuch- stellerin 2 die fristgerechte und anstandslose Wiederausreise aus dem Schengen-Raum nicht als hinreichend gesichert erscheine. Worauf sie diese Schlussfolgerung stützt, kann jedoch aufgrund der fehlenden Akten weder überprüft noch nachvollzogen werden. Die Versäumnisse der Vor- instanz hinsichtlich Sachverhaltsabklärung verunmöglichen eine materielle Behandlung der Beschwerde in Bezug auf die Gesuchstellerin 2, weshalb der angefochtene Entscheid diesbezüglich aufzuheben und die Streitsache zur Abklärung des Sachverhalts und zu neuem Entscheid an die Vorinstanz zurückzuweisen ist.</w:t>
      </w:r>
    </w:p>
    <w:p>
      <w:r>
        <w:t>F-5515/2022 Seite 5</w:t>
      </w:r>
    </w:p>
    <w:p>
      <w:r>
        <w:rPr>
          <w:b/>
        </w:rPr>
        <w:t>E. 3.3</w:t>
      </w:r>
    </w:p>
    <w:p>
      <w:r>
        <w:t>Nachfolgend zu prüfen bleibt somit, ob die Vorinstanz den Antrag auf Visumerteilung für den Gesuchsteller 1 zu Recht abgewiesen hat.</w:t>
      </w:r>
    </w:p>
    <w:p>
      <w:r>
        <w:rPr>
          <w:b/>
        </w:rPr>
        <w:t>E. 4.1</w:t>
      </w:r>
    </w:p>
    <w:p>
      <w:r>
        <w:t>Dem angefochtenen Entscheid liegt das Gesuch eines sri-lankischen Staatsangehörigen um Erteilung von Visa zu Besuchszwecken in der Schweiz zugrunde. Da sich der Gesuchsteller 1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4.2</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w:t>
      </w:r>
    </w:p>
    <w:p>
      <w:r>
        <w:t>F-5515/2022 Seite 6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4.5</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Die Vorinstanz zweifelt die anstandslose Wiederausreise des Gesuch- stellers 1 an und begründet dies zum einen mit den wirtschaftlichen Ver- hältnissen in seiner Heimatregion, zum anderen damit, dass ihm dort keine</w:t>
      </w:r>
    </w:p>
    <w:p>
      <w:r>
        <w:t>F-5515/2022 Seite 7 besonderen familiären Verpflichtungen oblägen. Er sei (…) Jahre alt, ledig und kinderlos. Es könne nicht davon ausgegangen werden, dass in seinem persönlichen oder familiären Umfeld Verpflichtungen oder Abhängigkeiten vorhanden seien, welche eine besondere Gewähr für seine Rückkehr ins Heimatland bieten könnten. Gemäss den Akten arbeite er als Verkäufer in einem (…)laden. Dass er seinen Arbeitsplatz während drei Monaten ver- lassen könne, spreche gegen eine besondere berufliche Verankerung im Heimatland. Kurz vor der Beantragung des Visums sei zudem ein grösse- rer Geldbetrag auf sein Konto einbezahlt worden. Woher das Geld stamme, sei nicht erläutert worden. Es könne deshalb nicht von gefestigten berufli- chen und damit von wirtschaftlichen Verhältnissen ausgegangen werden, die ihn nachhaltig von einer allfälligen Emigration abzuhalten vermöchten. Vor diesem Hintergrund sei das Risiko, dass er die Schweiz nach einem Besuchsaufenthalt nicht wieder rechtzeitig verlassen könnte, nicht zu un- terschätzen. Aufgrund der damals aktuellen Wirtschaftslage und der politi- schen Situation (Herbst 2022) sei das Risiko einer nicht fristgerechten Wie- derausreise von Besuchern aus Sri Lanka allgemein als hoch einzuschät- zen, insbesondere, wenn durch die Anwesenheit von Bekannten und Ver- wandten bereits ein minimales soziales Beziehungsnetz in der Schweiz be- stehe. Demnach erfülle der Gesuchsteller 1 die Voraussetzungen zur Er- teilung des Visums nicht, weshalb die Schweizer Vertretung in Colombo dessen Ausstellung zu Recht verweigert habe.</w:t>
      </w:r>
    </w:p>
    <w:p>
      <w:r>
        <w:rPr>
          <w:b/>
        </w:rPr>
        <w:t>E. 5.2</w:t>
      </w:r>
    </w:p>
    <w:p>
      <w:r>
        <w:t>Demgegenüber machen die Beschwerdeführenden geltend, ihre Gäste hätten im Frühling 2020 Visa erhalten, aber wegen des pandemiebeding- ten Lockdowns nicht reisen können. Im April 2022 hätten sie sich bei der Schweizer Botschaft über die Erneuerung der Visa erkundigt und die auf- erlegten Anforderungen erfüllt (Abschluss einer Reiseversicherung und Vorweisen der Flugtickets). Den Fragebogen des Migrationsamts für den Gesuchsteller 1 hätten sie aufforderungsgemäss mit den Beilagen einge- reicht. Was die Gesuchstellerin 2 betreffe, sei sie schon öfter in der Schweiz gewesen und immer fristgerecht abgereist. Obwohl sie alles ein- gereicht hätten, sei das Visum (recte: seien die Visa) abgelehnt resp. nicht erneuert worden. Sie boten an, als Sicherheit ein Sperrkonto für beide Gäste einzurichten, das erst gelöst werden könne, wenn die Gäste zurück nach Sri Lanka gereist seien. Sie äusserten sich weiter zur Situation in Sri Lanka aus ihrer Sicht. Seit 50 Jahren herrschten dort ethnische und wirt- schaftliche Schwierigkeiten. Sie würden es nicht anders kennen. Seit 30 Jahren herrsche Krieg in Sri Lanka. Minderheiten seien immer unterdrückt worden. Soweit sie das beurteilen könnten, sei das Problem in Sri Lanka nur lösbar, indem die Mehrheit der Bevölkerung, welche die Regierung</w:t>
      </w:r>
    </w:p>
    <w:p>
      <w:r>
        <w:t>F-5515/2022 Seite 8 stelle, und die Minderheiten im In- und Ausland zusammengebracht wür- den und eine Einigung betreffend Frieden und Justiz erzielt würde. Dann habe Sri Lanka eine gute und friedliche Zukunft.</w:t>
      </w:r>
    </w:p>
    <w:p>
      <w:r>
        <w:rPr>
          <w:b/>
        </w:rPr>
        <w:t>E. 6.1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 ge Praxis, da die persönliche Interessenlage in solchen Fällen erfahrungs- gemäss häufig nicht mit dem Ziel und Zweck einer zeitlich befristeten Ein- reisebewilligung im Einklang steht (BVGE 2014/1 E. 6.1).</w:t>
      </w:r>
    </w:p>
    <w:p>
      <w:r>
        <w:rPr>
          <w:b/>
        </w:rPr>
        <w:t>E. 6.2</w:t>
      </w:r>
    </w:p>
    <w:p>
      <w:r>
        <w:t>Sri Lanka befindet sich aktuell in einer schweren Wirtschafts- und Fi- nanzkrise, wobei es zu Engpässen bei der Versorgung mit Gütern wie Treibstoff, Strom, Medikamenten und Lebensmitteln kommt. Die Ver- schlechterung der wirtschaftlichen Lage Sri Lankas beschleunigte sich ab 2019 in Folge politischer Fehlentscheide (bspw. abruptes Verbot von che- mischem Dünger) und finanziellem Missmanagement und wurde durch die negativen Auswirkungen der Pandemie noch verstärkt (vgl. &lt; https://www.seco.admin.ch &gt; Aussenwirtschaft &amp; Wirtschaftliche Zusam- menarbeit &gt; Wirtschaftsbeziehungen &gt; Länderinformationen &gt; Asien &gt; Südasien &gt; Sri Lanka &gt; Wirtschaftsbericht 2022 vom 28. Juni 2022, abge- rufen am 28.12.2023). Dies hat zu landesweiten Protesten und teilweise gewaltsamen Ausschreitungen sowie schliesslich dazu geführt, dass Prä- sident Gotabaya Rajapaksa im Juli 2022 das Land verlassen hat. Das Land leidet weiterhin unter einer Wirtschafts- und Finanzkrise und es bestehen politische und soziale Spannungen (&lt; https://www.eda.admin.ch &gt; Reise- hinweise und Vertretungen &gt; Reisehinweise für Sri Lanka, abgerufen am 28.12.2023). Gemäss diverser Quellen erweist sich die Wirtschaftskrise im Norden von Sri Lanka, woher der Gesuchsteller 1 stammt, als besonders ausgeprägt. Gemäss dem ausführlichen Bericht der UN-Organisationen World Food Program (WFP) und Food and Agriculture Organization (FAO)</w:t>
      </w:r>
    </w:p>
    <w:p>
      <w:r>
        <w:t>F-5515/2022 Seite 9 sind der Norden und der Osten stärker von der Nahrungsunsicherheit be- troffen als andere Landesteile. Auch wurden Veränderungen bei den Ein- kommen evaluiert. Demnach gaben 25 Prozent der Befragten im Norden an, dass sich ihr Einkommen seit Beginn der Wirtschaftskrise mehr als hal- biert habe. 55 Prozent gaben an, dass sich das Einkommen um bis zur Hälfte verringert habe. Die Einkommensverminderung ist im Norden höher als im nationalen Durchschnitt (vgl. World Food Program [WFP] / Food and Agriculture Organization [FAO], Special Report: FAO/WFP Crop and Food Security Assessment Mission [CFSAM] to the Democratic Socialist Re- public of Sri Lanka, 29.05.2023, https://reliefweb.int/attach- ments/2f8749ae-5a3a-46ed-b1da-e549dc7128ea/cc6202en.pdf, abgeru- fen am 28.12.2023).</w:t>
      </w:r>
    </w:p>
    <w:p>
      <w:r>
        <w:rPr>
          <w:b/>
        </w:rPr>
        <w:t>E. 6.3</w:t>
      </w:r>
    </w:p>
    <w:p>
      <w:r>
        <w:t>Vor diesem Hintergrund ist nicht zu beanstanden, dass die Vorinstanz das Risiko einer nicht fristgerechten Wiederausreise von Besucherinnen und Besuchern aus Sri Lanka allgemein als hoch einschätzt.</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w:t>
      </w:r>
    </w:p>
    <w:p>
      <w:r>
        <w:rPr>
          <w:b/>
        </w:rPr>
        <w:t>E. 7.2</w:t>
      </w:r>
    </w:p>
    <w:p>
      <w:r>
        <w:t>Beim Gesuchsteller 1 handelt es sich um den (…)-jährigen Cousin des Beschwerdeführers 1. Er gab an, er arbeite in einem (…)laden in Z.________ und werde dort nach seiner Reise in die Schweiz weiterhin arbeiten. Bei der Einladung sei es – abgesehen davon, dass die Familie in der Schweiz auch ihn als Teil der Familie kennenlernen möchte – wichtig, dass er die (…)-jährige Gesuchstellerin 2 auf der Reise in die Schweiz und zurück nach Sri Lanka begleite.</w:t>
      </w:r>
    </w:p>
    <w:p>
      <w:r>
        <w:t>F-5515/2022 Seite 10</w:t>
      </w:r>
    </w:p>
    <w:p>
      <w:r>
        <w:rPr>
          <w:b/>
        </w:rPr>
        <w:t>E. 7.2.1</w:t>
      </w:r>
    </w:p>
    <w:p>
      <w:r>
        <w:t>Dass dem Gesuchsteller 1 in Sri Lanka besondere gesellschaftliche oder familiäre Verpflichtungen obliegen würden, ist nicht ersichtlich. Viel- mehr ist aufgrund der beantragten Visumsdauer von drei Monaten von einer weitgehenden Ungebundenheit auszugehen. Zudem verfügt er in der Schweiz durch den hier lebenden Cousin mit Familie über ein vorbe- stehendes familiäres Beziehungsnetz, was das Emigrationsrisiko erhöht.</w:t>
      </w:r>
    </w:p>
    <w:p>
      <w:r>
        <w:rPr>
          <w:b/>
        </w:rPr>
        <w:t>E. 7.2.2</w:t>
      </w:r>
    </w:p>
    <w:p>
      <w:r>
        <w:t>Über die wirtschaftlichen Verhältnisse des Gesuchstellers 1 ist be- kannt, dass er auf seinem Bankkonto per 21. Juni 2022 einen Saldo von LKR 1'030'242.75 (umgerechnet ca. Fr. 2’750.– per 21. Juni 2022) aus- wies. Soweit aus den Kontoauszügen ersichtlich, wurde am 21. Juni 2022 die Summe von LKR 1'000'000.– eingezahlt. Es wurde nicht erläutert, wo- her dieses Geld stammte. Der Umstand, dass die Einzahlung kurz vor der Visumsantragstellung am 30. Juni 2022 erfolgte – bei welchem der Ge- suchsteller 1 noch angab, keine Anstellung zu haben – spricht nicht für eine sichere wirtschaftlichen Existenz in Sri Lanka, welche ihn von einer Emi- gration abhalten könnte.</w:t>
      </w:r>
    </w:p>
    <w:p>
      <w:r>
        <w:rPr>
          <w:b/>
        </w:rPr>
        <w:t>E. 7.3</w:t>
      </w:r>
    </w:p>
    <w:p>
      <w:r>
        <w:t>Unter Berücksichtigung der allgemeinen Situation im Herkunftsland und vor dem dargelegten persönlichen Hintergrund durfte die Vorinstanz davon ausgehen, dass keine hinreichende Gewähr für eine fristgerechte und anstandslose Wiederausreise des Gesuchstellers 1 nach einem Be- suchsaufenthalt besteht.</w:t>
      </w:r>
    </w:p>
    <w:p>
      <w:r>
        <w:rPr>
          <w:b/>
        </w:rPr>
        <w:t>E. 7.4</w:t>
      </w:r>
    </w:p>
    <w:p>
      <w:r>
        <w:t>An dieser Einschätzung vermag weder die von den Beschwerdeführen- den unterzeichnete Verpflichtungserklärung, noch ihre Bereitschaft, eine Garantiesumme zu hinterlegen, etwas zu ändern. Das Visum wurde für den gesamten Schengen-Raum zu Recht verweigert. Gründe humanitärer oder anderer Art, welche die Erteilung eines Visums mit räumlich beschränkter Gültigkeit rechtfertigen würden, wurden nicht geltend gemacht und sind auch nicht ersichtlich.</w:t>
      </w:r>
    </w:p>
    <w:p>
      <w:r>
        <w:rPr>
          <w:b/>
        </w:rPr>
        <w:t>E. 7.5</w:t>
      </w:r>
    </w:p>
    <w:p>
      <w:r>
        <w:t>Soweit darin, dass die Vorinstanz sich nur implizit mit dem Vorbringen der Beschwerdeführenden auseinandergesetzt hat, dass im Frühling 2020 Besuchervisa (für beide Gesuchstellenden) ausgestellt worden waren, eine Gehörsverletzung gemäss Art. 29 Abs. 2 BV erblickt werden könnte, ist die- se als geheilt zu betrachten. Dies folgt daraus, dass das Bundesverwal- tungsgericht im vorliegenden Verfahren über die volle Kognition verfügt, die Beschwerdeführenden sich im Verwaltungsgerichtsbeschwerdeverfahren zur Sache äussern konnten und eine Rückweisung der Sache an die Vor- instanz hinsichtlich des Gesuchstellers 1 zu einem formalistischen Leerlauf</w:t>
      </w:r>
    </w:p>
    <w:p>
      <w:r>
        <w:t>F-5515/2022 Seite 11 führen würde (vgl. dazu BGE 147 IV 340 E. 4.11.3, 142 II 218 E. 2.8.1, je m.w.H.).</w:t>
      </w:r>
    </w:p>
    <w:p>
      <w:r>
        <w:rPr>
          <w:b/>
        </w:rPr>
        <w:t>E. 8</w:t>
      </w:r>
    </w:p>
    <w:p>
      <w:r>
        <w:t>Der Vollständigkeit halber bleibt auf die Pflicht der Vorinstanz zur sorgfälti- gen und vollständigen Aktenführung und -prüfung sowie zu einer unmiss- verständlichen Formulierung ihres Entscheids hinzuweisen. So hat sie im Rahmen des Einspracheverfahrens einen Kostenvorschuss von Fr. 400.– erhoben (vgl. Vorakten SEM pag. 9), im Dispositiv ihres Entscheids indes Kosten über einen Betrag von Fr. 200.– auferlegt (vgl. pag. 108). Diese Unstimmigkeit ist bei der Umsetzung des vorliegenden Urteils zu bereini- gen, indem Kosten, die nicht geschuldet waren, zurückzuerstatten sind.</w:t>
      </w:r>
    </w:p>
    <w:p>
      <w:r>
        <w:rPr>
          <w:b/>
        </w:rPr>
        <w:t>E. 9</w:t>
      </w:r>
    </w:p>
    <w:p>
      <w:r>
        <w:t>Zusammenfassend hat die Vorinstanz den Sachverhalt in Bezug auf die Gesuchstellerin 2 ungenügend abgeklärt, weshalb sich die Beschwerde in dieser Hinsicht als begründet erweist. Der angefochtene Entscheid ist dies- bezüglich aufzuheben und die Sache zur Abklärung des Sachverhalts und zu neuem Entscheid an die Vorinstanz zurückzuweisen (vgl. E. 3.2 hiervor). In Bezug auf den Gesuchsteller 1 ist die Beschwerde abzuweisen.</w:t>
      </w:r>
    </w:p>
    <w:p>
      <w:r>
        <w:rPr>
          <w:b/>
        </w:rPr>
        <w:t>E. 10</w:t>
      </w:r>
    </w:p>
    <w:p>
      <w:r>
        <w:t>Das Bundesverwaltungsgericht auferlegt gemäss Art. 63 Abs.1 VwVG die Verfahrenskosten in der Regel der unterliegenden Partei. Den bei diesem Ausgang des Verfahrens teilweise obsiegenden Beschwerdeführenden sind demnach Verfahrenskosten im Umfang des Unterliegens aufzuerle- gen. Der Differenzbetrag von Fr. 400.– zu dem am 27. Januar 2023 geleis- tete Kostenvorschuss von Fr. 800.– ist auf ein von ihnen zu bezeichnendes Konto zurückzuerstatten. Der teilweise unterliegenden Vorinstanz werden keine Verfahrenskosten auferlegt (Art. 63 Abs. 2 VwVG). Den teilweise obsiegenden, nicht anwaltlich vertretenen Beschwerdefüh- renden sind gestützt auf die Aktenlage keine notwendigen, verhältnismäs- sig hohen Kosten entstanden (vgl. Art. 64 Abs. 1 VwVG), weshalb keine Parteientschädigung zuzusprechen ist.</w:t>
      </w:r>
    </w:p>
    <w:p>
      <w:r>
        <w:t>(Dispositiv: siehe nächste Seite)</w:t>
      </w:r>
    </w:p>
    <w:p>
      <w:r>
        <w:t>F-5515/2022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