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F-5503/2020 vom 20. März 2023</w:t>
      </w:r>
    </w:p>
    <w:p>
      <w:r>
        <w:t>Bundesverwaltungsgericht, 2023-03-20, DE</w:t>
      </w:r>
    </w:p>
    <w:p>
      <w:r>
        <w:rPr>
          <w:b/>
        </w:rPr>
        <w:t xml:space="preserve">Quelle: </w:t>
      </w:r>
      <w:r>
        <w:t>https://mcp.opencaselaw.ch/entscheid/bvger_F-5503_2020</w:t>
      </w:r>
    </w:p>
    <w:p>
      <w:r>
        <w:t>FR: TAF F-5503/2020 du 20 mars 2023</w:t>
      </w:r>
    </w:p>
    <w:p>
      <w:r>
        <w:t>IT: TAF F-5503/2020 del 20 marzo 2023</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Art. 52 Abs. 1 VwVG). 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Nach Art. 67 Abs. 1 AIG verfügt das SEM ein Einreiseverbot gegenüber weggewiesenen Ausländerinnen und Ausländern, wenn die Wegweisung nach Art. 64d Abs. 2 Bst. a-c AIG sofort vollstreckt wird (Bst. a) oder diese nicht innerhalb der angesetzten Frist ausgereist sind (Bst. b). Ausserdem kann das SEM nach Art. 67 Abs. 2 Bst. a AIG (in der hier anwendbaren, bis am 21. November 2022 gültig gewesenen Fassung vom 18. Juni 2010 [AS 2010 5925])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verfügende Behörde ausnahmsweise von der Verhängung eines Einreiseverbots absehen oder ein Einreiseverbot endgültig oder vorübergehend aufheben (Art. 67 Abs. 5 AIG).</w:t>
      </w:r>
    </w:p>
    <w:p>
      <w:r>
        <w:rPr>
          <w:b/>
        </w:rPr>
        <w:t>E. 3.2</w:t>
      </w:r>
    </w:p>
    <w:p>
      <w:r>
        <w:t>Wird gegenüber einer Person, welche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kam in der angefochtenen Verfügung mit Blick auf den einschlägigen Sachverhalt zum Schluss, dass gemäss Art. 67 Abs. 1 Bst. a und b sowie Art. 67 Abs. 2 Bst. a AIG (in der hier anwendbaren, bis am 21. November 2022 gültig gewesenen Fassung vom 18. Juni 2010 [AS 2010 5925]) eine Fernhaltemassnahme anzuordnen sei. Die Stellungnahme im Rahmen des rechtlichen Gehörs enthalte keine Gründe, welche es rechtfertigten, davon abzusehen.</w:t>
      </w:r>
    </w:p>
    <w:p>
      <w:r>
        <w:rPr>
          <w:b/>
        </w:rPr>
        <w:t>E. 4.2</w:t>
      </w:r>
    </w:p>
    <w:p>
      <w:r>
        <w:t>Demgegenüber wird in der Beschwerde im Wesentlichen geltend gemacht, die Voraussetzungen von Art. 67 Abs. 1 Bst. a und b AIG seien nicht erfüllt, da die Wegweisung weder sofort vollstreckt worden, noch der Beschwerdeführer innert angesetzter Frist ausgereist sei. Das Einreiseverbot sei deshalb als nichtig aufzuheben. Er sei nach verbüsster Strafe von seinen Delikten rehabilitiert und stelle keine Gefahr für die öffentliche Sicherheit und Ordnung mehr dar. Er sei weder ein Terrorist, noch habe er einschlägige Delikte gegen Leib und Leben begangen. Auch aus humanitären und anderen wichtigen Gründen sei das Einreiseverbot aufzuheben; er sei faktisch Schweizer. Seine Mutter und die beiden Schwestern mit ihren Familien würden in der Schweiz leben. Er habe das Land nie verlassen, habe hier die Schule besucht, die Lehre absolviert und sei als Autolackierer tätig gewesen. Zu Nordmazedonien habe er keinerlei Beziehung und zu seinem dort lebenden Vater seit vielen Jahren keinen Kontakt mehr; nicht einmal die Sprache beherrsche er.</w:t>
      </w:r>
    </w:p>
    <w:p>
      <w:r>
        <w:rPr>
          <w:b/>
        </w:rPr>
        <w:t>E. 5</w:t>
      </w:r>
    </w:p>
    <w:p>
      <w:r>
        <w:t>Der Beschwerdeführer wurde seit dem Jahr 2010 immer wieder straffällig und zuletzt mit Strafbefehl des Untersuchungsamts Altstätten vom 26. März 2020 verurteilt (Akten der Vorinstanz [SEM-act.] 18). Aufgrund seines seit Jahren straffälligen und unbelehrbaren Verhaltens - weder die ausgesprochene Ermahnung noch die Verwarnung des Migrationsamts (Akten des Migrationsamts [kant.-act.] Nr. 41 und Nr. 57) vermochten ihn zu beeindrucken - hat er deutlich zum Ausdruck gebracht, offensichtlich nicht gewillt zu sein, sich an die hiesige Rechtsordnung zu halten. Ihm sind damit Widerhandlungen gegen die öffentliche Sicherheit und Ordnung vorwerfbar, was gestützt auf Art. 67 Abs. 2 Bst. a AIG (in der hier anwendbaren, bis am 21. November 2022 gültig gewesenen Fassung vom 18. Juni 2010 [AS 2010 5925]) den Erlass eines Einreiseverbots rechtfertigt. In Anbetracht dessen vermag er aus seinen Vorbringen, er sei weder ein Terrorist, noch habe er einschlägige Delikte gegen Leib und Leben begangen, nichts zu seinen Gunsten abzuleiten. Ebenso wenig kann er die Vermutung der immer noch von ihm ausgehenden Gefährdung (vgl. Urteil des BVGer F-1419/2022 vom 13. Februar 2023 E. 5.2 m.H.) dadurch entkräften, dass er geltend macht, er sei inzwischen von seinen Delikten rehabilitiert. Straf- und Ausländerrecht verfolgen unterschiedliche Ziele.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 Angesichts dessen, dass der Beschwerdeführer einen Fernhaltegrund im Sinne von Art. 67 Abs. 2 Bst. a AIG (in der hier anwendbaren, bis am 21. November 2022 gültig gewesenen Fassung vom 18. Juni 2010 [AS 2010 5925]) gesetzt hat, kann offenbleiben, ob vorliegend auch die Fernhaltegründe nach Art. 67 Abs. 1 Bst. a und b AIG erfüllt sind.</w:t>
      </w:r>
    </w:p>
    <w:p>
      <w:r>
        <w:rPr>
          <w:b/>
        </w:rPr>
        <w:t>E. 6</w:t>
      </w:r>
    </w:p>
    <w:p>
      <w:r>
        <w:t>Was die Dauer der Fernhaltemassnahme anbelangt, ist vorerst darauf hinzuweisen, dass das vom SEM verfügte zweite Einreiseverbot in Anbetracht der in Art. 67 Abs. 3 erster Satz AIG statuierten, geltenden Maximaldauer grundsätzlich maximal weitere fünf Jahre dauern darf. Bei der Bemessung der Dauer der Fernhaltemassnahme wird dabei auf das Datum der zweiten Verfügung abgestellt (vgl. BVGE 2021 VII/4 E. 7.2.2.1; Urteil des BVGerF-1444/2014 vom 9. Mai 2018 E. 4.4 und E. 6.1; betreffend Fernhaltemass-nahmen von längerer Dauer vgl. E. 6.2 - 6.3 ebenda). Ausgehend von diesem Zeitpunkt wird - auch unter Berücksichtigung der Umstände, welche zum ersten Einreiseverbot geführt haben - geprüft, welche Dauer für die "Anschlusssperre" angemessen und verhältnismässig erscheint. Mit dieser Vorgehensweise wird dem Umstand Rechnung getragen, dass ein Einreiseverbot keine Strafe ist, die ein bestimmtes Verhalten sanktioniert. Es handelt sich vielmehr um eine präventivpolizeiliche Administrativmassnahme, die primär künftige Störungen der öffentlichen Sicherheit und Ordnung verhindern soll (vgl. dazu ANDREA BINDER OSER, in: Bundesgesetz über die Ausländerinnen und Ausländer, 2010, ad Art. 67 AuG N 3). Das vorliegende Einreiseverbot wurde bis zum 14. Januar 2025 befristet, weshalb es - gerechnet vom 19. Oktober 2020 an - die gesetzliche fünfjährige Maximaldauer nicht überschreitet. Vor diesem Hintergrund ist grundsätzlich nicht zu beanstanden, dass das SEM eine "Anschlusssperre" verfügt hat.</w:t>
      </w:r>
    </w:p>
    <w:p>
      <w:r>
        <w:rPr>
          <w:b/>
        </w:rPr>
        <w:t>E. 7.1</w:t>
      </w:r>
    </w:p>
    <w:p>
      <w:r>
        <w:t>Der Entscheid darüber, ob ein Einreiseverbot anzuordnen und wie es zeitlich auszugestalten ist, legt Art. 67 Abs. 2 AIG (in der hier anwendbaren, bis am 21. November 2022 gültig gewesenen Fassung vom 18. Juni 2010 [AS 2010 5925])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Das generalpräventiv motivierte Interesse daran, die ausländerrechtliche Ordnung durch eine konsequente Massnahmenpraxis zu schützen, ist als gewichtig einzustufen. Dazu kommt eine spezialpräventive Zielsetzung der Massnahme, den Betroffenen zu ermahnen, ausländerrechtliche Be-stimmungen zukünftig einzuhalten und so einer weiteren Störung der öffentlichen Sicherheit und Ordnung entgegenzuwirken (vgl. Urteil des BVGer F-1827/2018 vom 30. September 2019 E. 7.1). Mit seinem Verhalten hat der Beschwerdeführer nach dem bisher Gesagten gegen die öffentliche Sicherheit und Ordnung verstossen beziehungsweise unter diesen Oberbegriff fallende Rechtsgüter gefährdet. Es besteht ein gewichtiges öffentliches Interesse an seiner befristeten Fernhaltung.</w:t>
      </w:r>
    </w:p>
    <w:p>
      <w:r>
        <w:rPr>
          <w:b/>
        </w:rPr>
        <w:t>E. 7.3</w:t>
      </w:r>
    </w:p>
    <w:p>
      <w:r>
        <w:t>Den öffentlichen sind die privaten Interessen des Beschwerdeführers gegenüberzustellen. Er hielt sich knapp 30 Jahre in der Schweiz auf und seine Mutter sowie seine beiden Schwestern mit ihren Familien leben hier. Eine erneute Wohnsitznahme in der Schweiz wie auch die Pflege regelmässiger Kontakte zu seinen hier lebenden Angehörigen scheitern bereits am fehlenden Aufenthaltsrecht. Der Beschwerdeführer hat die vorübergehende Einschränkung der Kontaktpflege selbst zu verantworten und in Kauf zu nehmen. Neben der Möglichkeit, bei der Vorinstanz zur Wahrnehmung von Besuchen seiner Angehörigen um Suspension des Einreiseverbots zu ersuchen (Art. 67 Abs. 5 AIG), ist es ihm zuzumuten, den Kontakt zu den Angehörigen mithilfe von Kommunikationsmitteln zu pflegen oder sie ausserhalb des Schengen-Raums und namentlich im Heimatland zu treffen. Nachdem er seine Ferien teilweise in Nordmazedonien verbracht hat (vgl. kant.-act. Nr. 86, S. 313), vermag er auch aus dem Einwand, er habe zu diesem Land keinerlei Beziehung und sei dort verloren, nichts für sich abzuleiten. Aufgrund seines anpassungsfähigen Alters sowie der in der Schweiz erworbenen Berufs- und Arbeitserfahrung ist vielmehr davon auszugehen, dass er sich im Heimatland ohne grössere Schwierigkeiten integrieren kann, ungeachtet dessen, dass der Kontakt zu seinem dort lebenden Vater erloschen sein soll.</w:t>
      </w:r>
    </w:p>
    <w:p>
      <w:r>
        <w:rPr>
          <w:b/>
        </w:rPr>
        <w:t>E. 7.4</w:t>
      </w:r>
    </w:p>
    <w:p>
      <w:r>
        <w:t>Zusammenfassend ist festzuhalten, dass das Interesse des Beschwerdeführers, ungehindert in die Schweiz einreisen zu können, aufgrund seiner hier bestehenden Bindungen nicht unbedeutend ist. Es vermag jedoch das gewichtige öffentliche Interesse an seiner Fernhaltung nicht zu überwiegen. Das bis zum 14. Januar 2025 befristete Einreiseverbot stellt in Anbetracht der Umstände sowohl vom Grundsatz her als auch in Bezug auf seine Dauer eine verhältnismässige und angemessene Massnahme zum Schutz der öffentlichen Sicherheit und Ordnung dar.</w:t>
      </w:r>
    </w:p>
    <w:p>
      <w:r>
        <w:rPr>
          <w:b/>
        </w:rPr>
        <w:t>E. 8</w:t>
      </w:r>
    </w:p>
    <w:p>
      <w:r>
        <w:t>Der über das Einreiseverbot hinausgehende Ausschluss der Bewegungsfreiheit im Schengen-Raum, der auf die Ausschreibung des Beschwerdeführers im SIS II zurückzuführen ist (vgl. dazu E. 3.2), ist ebenso wenig zu beanstanden. Der Eingriff wird durch die Aktenlage gerechtfertigt (vgl. Art. 21 i.V.m. Art. 24 SIS-II-VO). Zum einen ist aufgrund des Verhaltens des Beschwerdeführers von einer Gefährdung der öffentlichen Sicherheit und Ordnung auszugehen, zum anderen hat die Schweiz die Interessen der Gesamtheit aller Schengen-Staaten zu wahren (vgl. BVGE 2011/48 E. 6.1). Die mit der Ausschreibung des Einreiseverbots einhergehende zusätzliche Beeinträchtigung seiner persönlichen Bewegungsfreiheit hat der Beschwerdeführer in Kauf zu nehmen.</w:t>
      </w:r>
    </w:p>
    <w:p>
      <w:r>
        <w:rPr>
          <w:b/>
        </w:rPr>
        <w:t>E. 9</w:t>
      </w:r>
    </w:p>
    <w:p>
      <w:r>
        <w:t>Die angefochtene Verfügung ist als rechtmässig im Sinne von Art. 49 VwVG zu bestätigen. Die Beschwerde ist daher abzuweisen.</w:t>
      </w:r>
    </w:p>
    <w:p>
      <w:r>
        <w:rPr>
          <w:b/>
        </w:rPr>
        <w:t>E. 10</w:t>
      </w:r>
    </w:p>
    <w:p>
      <w:r>
        <w:t>Bei diesem Ausgang des Verfahrens sind die Kosten von Fr. 1'000.- dem Beschwerdeführer aufzuerlegen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