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F-54/2023 vom 9. Januar 2023</w:t>
      </w:r>
    </w:p>
    <w:p>
      <w:r>
        <w:t>Bundesverwaltungsgericht, 2023-01-09, FR</w:t>
      </w:r>
    </w:p>
    <w:p>
      <w:r>
        <w:rPr>
          <w:b/>
        </w:rPr>
        <w:t xml:space="preserve">Quelle: </w:t>
      </w:r>
      <w:r>
        <w:t>https://mcp.opencaselaw.ch/entscheid/bvger_F-54_2023</w:t>
      </w:r>
    </w:p>
    <w:p>
      <w:r>
        <w:t>FR: TAF F-54/2023 du 9 janvier 2023</w:t>
      </w:r>
    </w:p>
    <w:p>
      <w:r>
        <w:t>IT: TAF F-54/2023 del 9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intéressés, agissant sans le concours de leurs représentants juridiques auprès de Caritas, ont qualité pour recourir (art. 48 al. 1 PA, applicable par renvoi de l'art. 37 LTAF). Interjetés dans la forme (art. 52 al. 1 PA) et le délai (art. 108 al. 3 LAsi) prescrits par la loi, les recours sont recevables.</w:t>
      </w:r>
    </w:p>
    <w:p>
      <w:r>
        <w:rPr>
          <w:b/>
        </w:rPr>
        <w:t>E. 2.1</w:t>
      </w:r>
    </w:p>
    <w:p>
      <w:r>
        <w:t>En vertu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Le juge dispose en ce domaine d'une grande marge d'appréciation. La décision peut être prise à chaque stade de la procédure, y compris avec l'arrêt au fond (sur l'ensemble du sujet : Moser/Beusch/Kneubühler, Prozessieren vor dem Bundesverwaltungsgericht, 3e éd. 2022, no 3.17).</w:t>
      </w:r>
    </w:p>
    <w:p>
      <w:r>
        <w:rPr>
          <w:b/>
        </w:rPr>
        <w:t>E. 2.2</w:t>
      </w:r>
    </w:p>
    <w:p>
      <w:r>
        <w:t>En l'occurrence, il se justifie de joindre les causes F-54-2023 et F-55/2023 sous le numéro de référence F-54/2023, dès lors qu'il s'agit de membres d'une même famille et qu'un traitement séparé des recours ne s'impose pas.</w:t>
      </w:r>
    </w:p>
    <w:p>
      <w:r>
        <w:rPr>
          <w:b/>
        </w:rPr>
        <w:t>E. 3.1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3.2</w:t>
      </w:r>
    </w:p>
    <w:p>
      <w:r>
        <w:t>Saisi d'un recours contre une décision de non-entrée en matière sur une demande d'asile, le Tribunal se limite à examiner le bien-fondé d'une telle décision (cf. ATAF 2012/4 consid. 2.2 ; 2009/54 consid. 1.3.3). 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sur l'asile [OA 1, RS 142.311], cf. ATAF 2017 VI/7 consid. 2.1 ; 2017 VI/5 consid. 6.2).</w:t>
      </w:r>
    </w:p>
    <w:p>
      <w:r>
        <w:rPr>
          <w:b/>
        </w:rPr>
        <w:t>E. 3.3</w:t>
      </w:r>
    </w:p>
    <w:p>
      <w:r>
        <w:t>En vertu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c'est le cas en l'espèce, les critères énumérés au chapitre III du règlement (art. 8-15) doivent être appliqués successivement (principe de l'application hiérarchique des critères de compétence, art. 7 par. 1 RD III).</w:t>
      </w:r>
    </w:p>
    <w:p>
      <w:r>
        <w:rPr>
          <w:b/>
        </w:rPr>
        <w:t>E. 3.4</w:t>
      </w:r>
    </w:p>
    <w:p>
      <w:r>
        <w:t>En vertu de l'art. 12 par. 4 RD III, en relation avec le par. 2 du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 visas et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3.5</w:t>
      </w:r>
    </w:p>
    <w:p>
      <w:r>
        <w:t>En l'occurrence, il ressort de la consultation des systèmes CS-VIS et ORBIS que les recourants se sont vu notamment délivrer des visas Schengen valables du 20 juin au 11 juillet 2022 (pour la recourante 1), respectivement du 20 juin au 3 octobre 2022 (pour les recourants 2 et 3) par les autorités françaises. Fondé sur ce constat, le SEM a formulé des demandes de prise en charge au sens de l'art. 12 par. 4 RD III auprès desdites autorités. Celles-ci ont expressément accepté les demandes de prise en charge, en date du 19 décembre 2022. Il y a ainsi lieu d'admettre que la France a reconnu être responsable du traitement des demandes d'asile des recourants. Ce point n'est du reste pas contesté par les intéressés.</w:t>
      </w:r>
    </w:p>
    <w:p>
      <w:r>
        <w:rPr>
          <w:b/>
        </w:rPr>
        <w:t>E. 4.1</w:t>
      </w:r>
    </w:p>
    <w:p>
      <w:r>
        <w:t>Cela étant, il y a lieu d'examiner, en vertu de l'art. 3 par. 2 RD III,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w:t>
      </w:r>
    </w:p>
    <w:p>
      <w:r>
        <w:t>De jurisprudence constante, tel n'est pas le cas en France (cf., notamment, arrêts du TAF E-3926/2022 du 20 septembre 2022 consid. 5.2 ; F-3215/2022 du 29 juillet 2022 ; F-1772/2022 du 20 avril 2022 ; F-4038/2021 du 15 septembre 2021 consid. 4.3). Partant,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 2010/45 consid. 7.4 et 7.5 ; arrêts du TAF précités).</w:t>
      </w:r>
    </w:p>
    <w:p>
      <w:r>
        <w:rPr>
          <w:b/>
        </w:rPr>
        <w:t>E. 4.3</w:t>
      </w:r>
    </w:p>
    <w:p>
      <w:r>
        <w:t>Lors de leurs entretiens Dublin et à l'appui de leurs recours, les recourants n'ont fait valoir aucun argument susceptible de renverser cette présomption. Partant, l'application de l'art. 3 par. 2 2ème paragraphe RD III ne se justifie pas en l'espèce.</w:t>
      </w:r>
    </w:p>
    <w:p>
      <w:r>
        <w:rPr>
          <w:b/>
        </w:rPr>
        <w:t>E. 5.1</w:t>
      </w:r>
    </w:p>
    <w:p>
      <w:r>
        <w:t>En vertu de l'art. 17 par.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w:t>
      </w:r>
    </w:p>
    <w:p>
      <w:r>
        <w:rPr>
          <w:b/>
        </w:rPr>
        <w:t>E. 5.2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Elle peut en outre admettre cette responsabilité pour des raisons humanitaires au sens de l'art. 29a al. 3 OA 1.</w:t>
      </w:r>
    </w:p>
    <w:p>
      <w:r>
        <w:rPr>
          <w:b/>
        </w:rPr>
        <w:t>E. 5.3</w:t>
      </w:r>
    </w:p>
    <w:p>
      <w:r>
        <w:t>Il importe tout d'abord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5.4</w:t>
      </w:r>
    </w:p>
    <w:p>
      <w:r>
        <w:t>Hormis la présence en Suisse de membres de leur famille, point qui sera examiné ci-dessous, les recourants ne se sont pas prévalus du fait que leur transfert vers la France violerait les obligations internationales de la Suisse. Il y a ainsi lieu d'admettre que les intéressés pourront bénéficier, à leur retour sur le territoire français, d'une procédure d'asile et de conditions d'accueil conformes aux exigences du droit international et du droit européen. On notera à ce titre que seule la recourante 3 a nécessité une prise en charge médicale durant son séjour en Suisse (cf. consid. A.d supra). Son état de santé ne s'oppose toutefois pas à l'exécution de son transfert vers la France, qui dispose de structures médicales équivalentes à la Suisse.</w:t>
      </w:r>
    </w:p>
    <w:p>
      <w:r>
        <w:rPr>
          <w:b/>
        </w:rPr>
        <w:t>E. 5.5</w:t>
      </w:r>
    </w:p>
    <w:p>
      <w:r>
        <w:t>S'agissant de la présence en Suisse de membres de leur famille (c'est-dire en particulier leurs deux filles, respectivement soeurs et les quatre enfants de ces dernières),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(par exemple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 du TF 2C_916/2021 du 17 novembre 2021 consid. 3.3 ; 2C_653/2019 du 12 novembre 2019 consid. 8.1). Or, les recourants ne se sont pas prévalus d'un tel lien de dépendance avec leurs filles, respectivement soeurs en Suisse. Ils ne peuvent dès lors pas invoquer la protection conférée par l'art. 8 CEDH pour s'opposer à leur transfert vers la France.</w:t>
      </w:r>
    </w:p>
    <w:p>
      <w:r>
        <w:rPr>
          <w:b/>
        </w:rPr>
        <w:t>E. 5.6</w:t>
      </w:r>
    </w:p>
    <w:p>
      <w:r>
        <w:t>Au vu de ce qui précède, le transfert des recourants n'est pas contraire aux obligations de la Suisse découlant des art. 33 CR, 3 CEDH, 3 CCT ou 8 CEDH et 3 CDE. Par ailleurs, le SEM n'a commis ni excès ni abus de son large pouvoir d'appréciation en refusant d'admettre l'existence de raisons humanitaires au sens de l'art. 17 par. 1 RD III en combinaison avec l'art. 29a al. 3 OA 1 (cf. ATAF 2015/9 consid. 8). Si le souhait des recourants de pouvoir demeurer en Suisse auprès des membres de leur famille est compréhensible, il ne saurait à lui seul justifier une entrée en matière sur leurs demandes d'asile, étant rappelé que le Tribunal n'est plus habilité à revoir l'opportunité des décisions rendues par le SEM en matière d'asile (cf. consid. 3.1 supra).</w:t>
      </w:r>
    </w:p>
    <w:p>
      <w:r>
        <w:rPr>
          <w:b/>
        </w:rPr>
        <w:t>E. 6</w:t>
      </w:r>
    </w:p>
    <w:p>
      <w:r>
        <w:t>Vu ce qui précède, c'est à bon droit que le SEM n'est pas entré en matière sur les demandes d'asile des recourants, en application de l'art. 31a al. 1 let. b LAsi, et qu'il a prononcé le transfert des intéressés de Suisse vers la France, en application de l'art. 44 LAsi, aucune exception à la règle générale du renvoi n'étant réalisée (cf. art. 32 OA 1). Par conséquent, les recours doivent être rejetés. S'avérant manifestement infondés, ils le sont dans une procédure à juge unique, avec l'approbation d'un second juge (cf. art. 111 let. e LAsi). Il est dès lors renoncé à un échange d'écritures (cf. art. 111a al. 1 LAsi). Dans la mesure où il est statué sur le fond par le présent arrêt, les demandes tendant à l'octroi de l'effet suspensif et à la dispense du versement d'une avance de frais sont sans objet, les mesures superprovisionnelles prononcées le 5 janvier 2023 devenant caduques par le présent prononcé.</w:t>
      </w:r>
    </w:p>
    <w:p>
      <w:r>
        <w:rPr>
          <w:b/>
        </w:rPr>
        <w:t>E. 7</w:t>
      </w:r>
    </w:p>
    <w:p>
      <w:r>
        <w:t>Les conclusions formulées dans les recours étant d'emblée vouées à l'échec, les requêtes d'assistance judiciaire totale (recte : partielle) sont rejetées (art. 102m al. 1 LAsi en lien avec l'art. 65 al. 1 PA a contrario). Compte tenu de l'issue de la cause, il y a lieu de mettre les frais de procédure, d'un montant de 750 francs, à la charge des recourants en tant que débiteurs solidaires, conformément aux art. 63 al. 1 PA ainsi que 2, 3 let. a et 6a du règlement du 21 février 2008 concernant les frais, dépens et indemnités fixés par le Tribunal administratif fédéral (FITAF ;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