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F-5496/2019 vom 8. November 2021</w:t>
      </w:r>
    </w:p>
    <w:p>
      <w:r>
        <w:t>Bundesverwaltungsgericht, 2021-11-08, FR</w:t>
      </w:r>
    </w:p>
    <w:p>
      <w:r>
        <w:rPr>
          <w:b/>
        </w:rPr>
        <w:t xml:space="preserve">Quelle: </w:t>
      </w:r>
      <w:r>
        <w:t>https://mcp.opencaselaw.ch/entscheid/bvger_F-5496_2019</w:t>
      </w:r>
    </w:p>
    <w:p>
      <w:r>
        <w:t>FR: TAF F-5496/2019 du 8 novembre 2021</w:t>
      </w:r>
    </w:p>
    <w:p>
      <w:r>
        <w:t>IT: TAF F-5496/2019 del 8 novembre 2021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définitivement en l'occurrence (cf. art. 1 al. 2 LTAF cum art. 83 let. c ch.1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al. 1 et art. 52 al.1 PA).</w:t>
      </w:r>
    </w:p>
    <w:p>
      <w:r>
        <w:rPr>
          <w:b/>
        </w:rPr>
        <w:t>E. 2</w:t>
      </w:r>
    </w:p>
    <w:p>
      <w:r>
        <w:t>Le TAF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2014/1 consid. 2).</w:t>
      </w:r>
    </w:p>
    <w:p>
      <w:r>
        <w:rPr>
          <w:b/>
        </w:rPr>
        <w:t>E. 3</w:t>
      </w:r>
    </w:p>
    <w:p>
      <w:r>
        <w:t>Dans son mémoire de recours, l'intéressé expose que c'est certainement durant son incarcération en été 2019 (cf. supra consid. H) qu'il avait reçu le formulaire « Droit d'être entendu en cas de mesures d'éloignement » et qu'au vu des circonstances et de sa compréhension de la situation, il n'avait pas été en mesure de formuler des observations. A la lecture des pièces du dossier du SEM, le Tribunal constate néanmoins que si le recourant a bien été entendu sur l'éventuel prononcé d'une interdiction d'entrée à une reprise, cela était au mois de novembre 2018 suite à son interception par le Cgfr au poste de Y._______, et qu'à cette occasion, il avait expressément renoncé à se déterminer (cf. supra consid. E). Or, le principal reproche que le SEM a formulé à l'encontre de l'intéressé dans la décision entreprise renvoie à la condamnation prononcée par le TPol-GE le 20 juin 2019 (cf. supra consid. F), donc postérieurement au droit d'être entendu exercé le 30 novembre 2018. Dans ces circonstances, se pose donc la question de savoir si le droit d'être entendu du recourant a été respecté par le SEM, question qu'il convient d'examiner en premier lieu (ATF 138 I 232 consid. 5.1 ; arrêts du Tribunal fédéral [ci-après : le TF] 2C_1004/2018 du 11 juin 2019 consid. 5, 2C_125/2018 du 21 décembre 2018 consid. 2).</w:t>
      </w:r>
    </w:p>
    <w:p>
      <w:r>
        <w:rPr>
          <w:b/>
        </w:rPr>
        <w:t>E. 3.1</w:t>
      </w:r>
    </w:p>
    <w:p>
      <w:r>
        <w:t>Le droit d'être entendu, inscrit à l'art. 29 al. 2 de la Constitution fédérale de la Confédération suisse du 18 avril 1999 (Cst., RS 101), comprend, au sens large, le droit de s'exprimer, le droit de consulter le dossier, le droit de faire administrer des preuves et de participer à leur administration, le droit d'obtenir une décision motivée et le droit de se faire représenter ou assister. Il est notamment consacré, en procédure administrative fédérale aux art. 26 à 28 (droit de consulter les pièces), aux art. 29 à 33 (droit d'être entendu au sens étroit) et à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142 II 218 consid. 2.3).</w:t>
      </w:r>
    </w:p>
    <w:p>
      <w:r>
        <w:rPr>
          <w:b/>
        </w:rPr>
        <w:t>E. 3.2</w:t>
      </w:r>
    </w:p>
    <w:p>
      <w:r>
        <w:t>Dans le cas d'espèce, même si l'on peut relever l'éloignement temporel conséquent séparant l'exercice du droit d'être entendu en novembre 2018 et le prononcé, respectivement la notification, de la décision du SEM en septembre 2019, force est de constater que les faits pour lesquels le recourant a été condamné par le TPol-GE en date du 20 juin 2019 (faux dans les certificats étrangers, entrée et séjour illégaux) sont précisément ceux constatés par le Cgfr le 30 novembre 2018 lors de son interception et sur la base desquels il a été entendu à cette occasion. Quant aux autres éléments retenus à la charge du recourant dans le cadre de la décision entreprise, ils se sont tous déroulés antérieurement à l'audition du 30 novembre 2018. Il convient en outre de rappeler que le recourant dit être de langue française et que rien ne laisse présupposer qu'il aurait été, au moment de sa déclaration de renoncer à se prononcer, incapable de discernement. Dans ces circonstances, le recourant ne saurait soutenir valablement qu'il n'était pas en mesure de comprendre qu'une interdiction d'entrée en Suisse pouvait être prononcée à son encontre et qu'il avait l'occasion de s'exprimer à ce propos avant qu'une décision ne soit rendue. Au demeurant, le Tribunal observe, d'une part, que l'OCPM-GE a précisé dans sa décision de renvoi du 26 août 2019, notifiée le lendemain, que ses actes concernant l'intéressé seraient transmis au SEM en vue du prononcé d'une mesure d'interdiction d'entrée et, d'autre part, que le recourant n'a pas réagi alors qu'il aurait pu déposer des observations spontanées auprès du SEM si les tenants et aboutissants de la situation lui avaient véritablement échappé le 30 novembre 2018.</w:t>
      </w:r>
    </w:p>
    <w:p>
      <w:r>
        <w:rPr>
          <w:b/>
        </w:rPr>
        <w:t>E. 3.3</w:t>
      </w:r>
    </w:p>
    <w:p>
      <w:r>
        <w:t>Au vu de ce qui précède, force est de conclure que le droit d'être entendu du recourant n'a pas été violé par le SEM.</w:t>
      </w:r>
    </w:p>
    <w:p>
      <w:r>
        <w:rPr>
          <w:b/>
        </w:rPr>
        <w:t>E. 4</w:t>
      </w:r>
    </w:p>
    <w:p>
      <w:r>
        <w:t>Le recourant reproche à l'autorité inférieure d'avoir mal établi les faits pertinents dès lors qu'elle n'a pas pris en considération sa paternité dans la décision entreprise.</w:t>
      </w:r>
    </w:p>
    <w:p>
      <w:r>
        <w:rPr>
          <w:b/>
        </w:rPr>
        <w:t>E. 4.1</w:t>
      </w:r>
    </w:p>
    <w:p>
      <w:r>
        <w:t>A cet égard, le Tribunal relève en premier lieu que l'on ne saurait en l'espèce reprocher au SEM d'avoir ignoré cet élément dès lors que l'enfant est né le 12 octobre 2019, soit postérieurement au prononcé de la décision du 11 septembre 2019. En outre, l'autorité intimée n'était informée ni de la relation entretenue avec C._______ ni du fait que cette dernière portait l'enfant du recourant. En effet, entendu le 30 novembre 2018, l'intéressé a déclaré vivre en ménage commun avec B._______ et entretenir un projet de mariage avec celle-ci.</w:t>
      </w:r>
    </w:p>
    <w:p>
      <w:r>
        <w:rPr>
          <w:b/>
        </w:rPr>
        <w:t>E. 4.2</w:t>
      </w:r>
    </w:p>
    <w:p>
      <w:r>
        <w:t>Ensuite, si la procédure administrative est régie essentiellement par la maxime inquisitoire, selon laquelle les autorités définissent les faits pertinents et les preuves nécessaires, qu'elles ordonnent et apprécient d'office (art. 12 PA ;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(ATAF 2009/50 consid. 10.2 et 2008/24 consid. 7.2 ; arrêt du TAF D-3082/2019 du 27 juin 2019 p. 5 s.), ce qui est justement le cas d'une future paternité, comme en l'espèce. De ce point de vue, l'ignorance par le SEM de la naissance à venir de l'enfant du recourant relève bien plus d'une violation du devoir de l'intéressé de collaborer à l'établissement des faits que d'un manquement qui pourrait être reproché à l'autorité inférieure.</w:t>
      </w:r>
    </w:p>
    <w:p>
      <w:r>
        <w:rPr>
          <w:b/>
        </w:rPr>
        <w:t>E. 4.3</w:t>
      </w:r>
    </w:p>
    <w:p>
      <w:r>
        <w:t>Dans ces circonstances, le Tribunal considère que l'état de fait était établi à suffisance de droit lorsque le SEM a rendu sa décision. Cela étant, la paternité du recourant doit, à l'évidence, être pris en compte. L'impact de cet élément sur la durée de l'interdiction d'entrée sera abordé ci-dessous dans le cadre de l'examen de la proportionnalité (cf. infra consid. 7), après que le principe même du prononcé d'une mesure d'éloignement ait été analysé (cf. infra consid. 6).</w:t>
      </w:r>
    </w:p>
    <w:p>
      <w:r>
        <w:rPr>
          <w:b/>
        </w:rPr>
        <w:t>E. 5</w:t>
      </w:r>
    </w:p>
    <w:p>
      <w:r>
        <w:t>L'interdiction d'entrée est régie par l'art. 67 de la loi fédérale du 16 décembre 2005 sur les étrangers et l'intégration (LEI, RS 142.20).</w:t>
      </w:r>
    </w:p>
    <w:p>
      <w:r>
        <w:rPr>
          <w:b/>
        </w:rPr>
        <w:t>E. 5.1</w:t>
      </w:r>
    </w:p>
    <w:p>
      <w:r>
        <w:t>Selon l'art. 67 al. 2 let. a LEI, le SEM peut interdire l'entrée en Suisse à un étranger s'il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ou de décisions d'autorités (Message LEtr, p. 3469, 3564 et 3568). A cette fin, il faut des éléments concrets (art. 77a al. 2 OASA). Selon la jurisprudence constante du TAF, le fait d'entrer, de séjourner ou de travailler en Suisse sans autorisation représente une violation grave des prescriptions de police des étrangers (cf. arrêts du TAF F-2581/2016 du 21 février 2018 consid. 5.3, F-6177/2016 du 22 janvier 2018 consid. 4.6 et F-2164/2017 du 17 novembre 2017 consid. 5.2).</w:t>
      </w:r>
    </w:p>
    <w:p>
      <w:r>
        <w:rPr>
          <w:b/>
        </w:rPr>
        <w:t>E. 5.2</w:t>
      </w:r>
    </w:p>
    <w:p>
      <w:r>
        <w:t>L'interdiction d'entrée au sens du droit des étrangers vise à empêcher l'entrée ou le retour d'un étranger dont le séjour en Suisse (respectivement dans l'Espace Schengen) est indésirable (arrêt du TF 6B_173/2013 du 19 août 2013 consid. 2.3). Elle n'est pas considérée comme une peine sanctionnant un comportement déterminé, mais comme une mesure ayant pour but de prévenir une atteinte à la sécurité et à l'ordre publics (Message LEtr,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L'autorité compétente examine selon sa libre appréciation si une interdiction d'entrée au sens de l'art. 67 al. 2 LEI doit être prononcée. Elle doit donc procéder à une pondération de l'ensemble des intérêts en présence et respecter le principe de la proportionnalité (Andreas Zünd/Ladina Arquint Hill, Beendigung der Anwesenheit, Entfernung und Fernhaltung, in : Uebersax et al. [éd.], Ausländerrecht, 2ème éd. 2009, no 8.80 ; ATF 139 II 121 consid. 6.5.1 ; ATAF 2017 VII/2 consid. 4.5).</w:t>
      </w:r>
    </w:p>
    <w:p>
      <w:r>
        <w:rPr>
          <w:b/>
        </w:rPr>
        <w:t>E. 5.3</w:t>
      </w:r>
    </w:p>
    <w:p>
      <w:r>
        <w:t>Si le jugement pénal ne lie en principe pas l'autorité administrative, la jurisprudence admet, afin d'éviter dans la mesure du possible des contradictions, que l'autorité administrative ne devait pas s'écarter sans raison sérieuse des faits constatés par le juge pénal ni de ses appréciations juridiques qui dépendent fortement de l'établissement des faits (ATF 136 II 447 consid. 3.1,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 arrêt du TF 2A.391/2003 du 30 août 2004 consid. 3.5). Il convient d'examiner, en premier lieu, si le recourant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(arrêt du TF 2C_66/2018 du 7 mai 2018 consid. 5.3.1 ; Barbara Adank-Schärer/Yannick Antoniazza-Hafner, Interdiction d'entrée prononcée à l'encontre d'un étranger délinquant, AJP/PJA 7/2018, p. 889, note de bas de page no 32). Dans sa décision querellée, l'autorité inférieure a prononcé une interdiction d'entrée en Suisse d'une durée de cinq ans à l'encontre du recourant. Le SEM s'est plus spécialement basé sur la condamnation pénale du 20 juin 2019, relavant au demeurant que le recourant avait été condamné auparavant, et a estimé, au vu de l'atteinte à la sécurité et à l'ordre publics qui en a découlé, qu'une mesure d'éloignement s'imposait. Le recourant ne conteste ni qu'il ait fait l'objet d'une condamnation pénale le 20 juin 2019, ni que cela n'ait pas été sa première condamnation, ni même que son comportement justifie le principe du prononcé d'une interdiction d'entrée en Suisse. Il ressort du jugement du TPol-GE du 20 juin 2019 et du rapport du Cgfr du 30 novembre 2018 que la plus récente condamnation de l'intéressé porte sur des infractions de police des étrangers ou liées à la volonté préméditée de contourner ces dernières, ainsi qu'un témoigne à l'évidence l'usage d'un passeport falsifié. Or, comme déjà précisé, selon la jurisprudence, le fait d'entrer, de séjourner et/ou de travailler en Suisse sans autorisation constitue déjà en soi une violation grave des prescriptions de police des étrangers (cf. ATAF 2017 VII/2 consid. 6.2 et les réf. cit.), justifiant le prononcé d'une interdiction d'entrée de plusieurs années, soit pouvant aller généralement d'un à quatre ans (cf. arrêt du TAF F-8373/2015 du 29 octobre 2019 consid. 5.4 et les réf. cit.) pour ces seuls faits, auxquels il faut rajouter en l'espèce le faux dans les certificats étrangers. Aussi, la mesure d'interdiction d'entrée prononcée le 11 septembre 2019 est manifestement justifiée dans son principe. Au demeurant, ayant fixé la durée de l'interdiction d'entrée à cinq ans, le SEM n'a pas dépassé le cadre fixé par l'art. 67 al. 3 phr. 1 LEI, qui exige, pour un ressortissant d'Etat tiers, seulement l'existence d'une atteinte ou d'une mise en danger - sans qualification particulière de gravité - de l'ordre et de la sécurité publics (cf. ATF 139 II 121 consid. 6.1).</w:t>
      </w:r>
    </w:p>
    <w:p>
      <w:r>
        <w:rPr>
          <w:b/>
        </w:rPr>
        <w:t>E. 6</w:t>
      </w:r>
    </w:p>
    <w:p>
      <w:r>
        <w:t>Cela étant, il convient encore d'examiner si la durée de l'interdiction en Suisse retenue par le SEM satisfait aux principes de proportionnalité et d'égalité de traitement.</w:t>
      </w:r>
    </w:p>
    <w:p>
      <w:r>
        <w:rPr>
          <w:b/>
        </w:rPr>
        <w:t>E. 6.1</w:t>
      </w:r>
    </w:p>
    <w:p>
      <w:r>
        <w:t>Toute mesure d'éloignement doit respecter le principe de la proportionnalité, qui s'impose tant en droit interne (art. 5 al. 2 et 36 al. 3 Cst. et 96 LEI) qu'au regard de la Convention du 4 novembre 1950 de sauvegarde des droits de l'homme et des libertés fondamentales (CEDH, RS 0.101), et plus spécialement l'art. 8 par. 2 CEDH si ce dernier s'applique au cas d'espèce.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142 I 76 consid. 3.5.1). L'examen sous l'angle de l'art. 8 par. 2 CEDH se confond avec celui imposé par le droit interne (arrêts du TF 2C_53/2015 du 31 mars 2015 consid. 5.3 et 2C_139/2014 du 4 juillet 2014 consid. 5) Conformément aux dispositions précitées, la pesée des intérêts publics et privés effectuée dans le cas d'espèce doit faire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6.2</w:t>
      </w:r>
    </w:p>
    <w:p>
      <w:r>
        <w:t>En l'espèce, il est indéniable que l'éloignement de l'intéressé du territoire est apte à atteindre les buts visés, à savoir protéger l'ordre et la sécurité publics (cf. arrêt du TAF F-1693/2018 du 13 septembre 2019 consid. 9.3). La mesure prononcée par le SEM est également nécessaire dans la mesure où ces buts ne peuvent pas être atteints de manière moins invasive.</w:t>
      </w:r>
    </w:p>
    <w:p>
      <w:r>
        <w:rPr>
          <w:b/>
        </w:rPr>
        <w:t>E. 6.3</w:t>
      </w:r>
    </w:p>
    <w:p>
      <w:r>
        <w:t>Concernant la règle de la proportionnalité au sens étroit, il s'agit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w:t>
      </w:r>
    </w:p>
    <w:p>
      <w:r>
        <w:rPr>
          <w:b/>
        </w:rPr>
        <w:t>E. 6.3.1</w:t>
      </w:r>
    </w:p>
    <w:p>
      <w:r>
        <w:t>S'agissant de l'intérêt public à l'éloignement du recourant de Suisse, le Tribunal observe que les motifs retenus à l'appui de la mesure d'éloignement prise à son endroit ne sauraient être contestés. Outre la condamnation du 20 juin 2019, suffisante en soi pour justifier une interdiction d'entrée en Suisse d'une durée allant jusqu'à cinq ans, le Tribunal doit relever en l'occurrence la commission antérieure d'infractions qui constitue un indice de poids permettant de penser qu'une nouvelle atteinte à la sécurité et à l'ordre publics sera commise à l'avenir (ATAF 2017 VII/2 consid. 4.4 s., 2008/24 consid. 4.2), de sorte l'intérêt public à l'éloignement de l'intéressé pendant une certaine durée n'est que d'autant plus important. En outre, le Tribunal fédéral et le TAF, à l'instar de la Cour européenne des droits de l'homme (ci-après : la CourEDH), se montrent particulièrement rigoureux en présence d'infractions contre l'intégrité physique, psychique ou sexuelle ou la santé, telles notamment les infractions à la législation sur les stupéfiants (ATF 145 IV 364 consid. 3.5.2, 139 II 121 consid. 5.3, 137 II 297 consid. 3.3, 136 II 5 consid. 4.2, 130 II 176 consid. 4.3.1 ; arrêt du TF 2C_897/2020 du 26 novembre 2020 consid. 3.2 ; arrêt du TAF F-1984/2019 du 15 juin 2021 consid. 4.4), ce qui est précisément le cas du recourant, condamné pour infractions à la LStup en 2017 (cf. supra consid. B), puis encore en 2018 (cf. supra consid. D). Plus spécialement, il ressort de l'arrêt de la Cour de justice du canton de Genève du 24 août 2018 que l'intéressé ne s'est pas limité à la consommation, mais a également participé activement à la distribution de produits stupéfiants. Enfin, le Tribunal observe que l'intéressé semble également faire peu de cas des décisions des autorités administratives dans la mesure où, d'une part, il a fallu recourir à la détention administrative pour l'exécution de la décision de transfert après la non-entrée en matière sur sa demande d'asile. D'autre part, étant entendu qu'il allègue s'occuper plusieurs heures par jour de son enfant, il n'a manifestement pas quitté la Suisse suite à la décision de renvoi prononcée par l'OCPM-GE ou, s'il l'a fait, il est revenu dans ce pays malgré la mesure d'éloignement prononcée à son endroit et l'absence d'effet suspensif à son recours.</w:t>
      </w:r>
    </w:p>
    <w:p>
      <w:r>
        <w:rPr>
          <w:b/>
        </w:rPr>
        <w:t>E. 6.3.2</w:t>
      </w:r>
    </w:p>
    <w:p>
      <w:r>
        <w:t>Quant aux intérêts privés, l'intéressé s'est principalement prévalu dans son recours de la protection de la vie familiale garantie par l'art. 8 par. 1 CEDH, alléguant avoir un enfant avec une femme titulaire d'une autorisation d'établissement et nourrir le projet de mariage en vue de fonder une famille avec cette dernière. Dans son courrier du 28 septembre 2021, le recourant a toutefois exposé qu'il n'entretenait plus de relation de couple stable avec la mère de son enfant. Selon la jurisprudence, un étranger peut, selon les circonstances, se prévaloir du droit au respect de sa vie privée et familiale au sens de l'art. 8 par. 1 CEDH (dont la portée est identique à celle de l'art. 13 al. 1 Cst.) pour s'opposer à l'éventuelle séparation d'avec sa famille à la condition qu'il entretienne des relations étroites, effectives et intactes avec un membre de cette famille disposant d'un droit de présence assuré en Suisse. Les relations visées par cette disposition sont avant tout celles qui existent entre époux, ainsi que les relations entre parents et enfants mineurs vivant en ménage commun. En dehors de ce cadre étroit, un étranger majeur ne peut se prévaloir de cette disposition que s'il se trouve dans un état de dépendance particulier par rapport à des membres de sa famille résidant en Suisse en raison, par exemple, d'un handicap ou d'une maladie grave (ATF 137 I 154 consid. 3.4 ; arrêt du TF 2C_537/2015 du 19 juin 2015 consid. 3.1.1). Cela étant, il convient de relever que l'impossibilité pour le recourant de résider durablement en Suisse ne résulte pas de la mesure d'éloignement litigieuse, mais découle du fait que celui-ci n'a jamais bénéficié d'une autorisation de séjour dans ce pays et qu'il se trouve sous le coup d'une décision de renvoi (arrêt du TAF F-2094/2017 du 2 juillet 2019 consid. 8.1.4). L'examen de la présente cause à l'aune des art. 8 CEDH (et 13 Cst.) consistera donc avant tout à déterminer si l'interdiction d'entrée querellée complique de manière disproportionnée le maintien de relations familiales protégées par cette disposition. A certaines conditions précisées par la jurisprudence, l'art. 8 par. 1 CEDH s'applique même si l'enfant n'est pas placé sous l'autorité parentale ou la garde du parent concerné (ATF 144 I 266 consid. 3.3, 144 II 1 consid. 6.1). Dans ce cadre, le TF a toutefois considéré,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5.2, 140 I 145 consid. 3.2). Or, bien que le recourant allègue s'occuper plusieurs heures par jour de son enfant et verser une contribution d'entretien d'au minimum 300 francs par mois à sa mère, sans toutefois fournir le moindre moyen de preuve à cet égard, il ne peut en aucun cas se prévaloir d'un comportement irréprochable au vu des différentes condamnations dont il a fait l'objet et de sa persistance à résider en Suisse en dépit de toute autorisation. De plus, même si l'intéressé doit bénéficier de la présomption d'innocence en regard de ses affaires pénales actuellement en cours, le Tribunal constate qu'il n'a, dans le cadre de la présente procédure, à aucun moment nié avoir eu le comportement qui lui est reproché par le Ministère public. En outre, il convient de relever que la relation que l'intéressé a construit avec son enfant n'a été rendue possible que par sa présence en Suisse en situation irrégulière, et ce en dépit d'une décision de renvoi en force et exécutoire. Cela étant, le Tribunal ne saurait complètement ignorer les liens tissés entre le père et son enfant et les complications dans le maintien de cette relation que représente une interdiction d'entrée en Suisse d'une durée de cinq ans.</w:t>
      </w:r>
    </w:p>
    <w:p>
      <w:r>
        <w:rPr>
          <w:b/>
        </w:rPr>
        <w:t>E. 6.4</w:t>
      </w:r>
    </w:p>
    <w:p>
      <w:r>
        <w:t>Dans ces circonstances, après une pondération de l'ensemble des intérêts privés et publics en présence, compte tenu en particulier du fait que le recourant a des attaches familiales en Suisse, le Tribunal de céans parvient à la conclusion qu'une interdiction d'entrée d'une durée de quatre ans serait une mesure proportionnée dans le cas d'espèce en considération uniquement des faits survenus antérieurement à la décision attaquée. Dans ce contexte, le TAF ne saurait toutefois ignorer l'obstination durable du recourant à demeurer en Suisse, malgré une décision de renvoi entrée en force et en l'absence de toute autorisation idoine ou de tolérance formalisée par les autorités cantonales. De même, il convient également de prendre en considération l'absence d'effet réel de la décision attaquée à ce jour, l'intéressé se trouvant encore en Suisse, nonobstant la décision incidente du 28 novembre 2019, par laquelle le Tribunal a rejeté la demande de restitution de l'effet suspensif retiré au recours par le SEM (cf. supra consid. J). En fin de compte, il apparaît qu'en l'état le maintien d'une interdiction d'entrée portant ses effets jusqu'au 10 septembre 2024 n'est aucunement disproportionné.</w:t>
      </w:r>
    </w:p>
    <w:p>
      <w:r>
        <w:rPr>
          <w:b/>
        </w:rPr>
        <w:t>E. 7</w:t>
      </w:r>
    </w:p>
    <w:p>
      <w:r>
        <w:t>Le SEM a par ailleurs ordonné l'inscription de l'interdiction d'entrée dans le SIS II. En raison de ce signalement, il est interdit au recourant de pénétrer dans l'Espace Schengen.</w:t>
      </w:r>
    </w:p>
    <w:p>
      <w:r>
        <w:rPr>
          <w:b/>
        </w:rPr>
        <w:t>E. 7.1</w:t>
      </w:r>
    </w:p>
    <w:p>
      <w:r>
        <w:t>Lorsqu'une décision d'interdiction d'entrée est prononcée - comme en l'espèce - à l'endroit d'une personne qui n'est ni un citoyen de l'Union européenne, ni un ressortissant d'un pays tiers jouissant de droits de libre circulation équivalents en vertu d'accords conclus par ce pays avec la Communauté européenne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II si le cas est suffisamment important pour justifier l'introduction du signalement (cf. art. 21 et 24 SIS II).</w:t>
      </w:r>
    </w:p>
    <w:p>
      <w:r>
        <w:rPr>
          <w:b/>
        </w:rPr>
        <w:t>E. 7.2</w:t>
      </w:r>
    </w:p>
    <w:p>
      <w:r>
        <w:t>Le signalement dans le SIS II a pour conséquence que la personne concernée se verra refuser l'entrée dans l'Espace Schengen (cf. art. 14 par. 1 cum 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voir également l'art. 14 par. 1 cum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7.3</w:t>
      </w:r>
    </w:p>
    <w:p>
      <w:r>
        <w:t>En l'espèce, l'inscription du signalement au SIS II est expressément prévue dans les circonstances d'espèce (cf. art. 24 par. 3 SIS II). Partant, ce signalement est justifié par les faits retenus et satisfait au principe de la proportionnalité (cf. art. 21 en relation avec l'art. 24 par. 2 SIS II). Il l'est d'autant plus que la Suisse, dans le champ d'application des règles de Schengen, se doit de préserver les intérêts de tous les Etats parties aux accords d'association à Schengen (cf. art. 1 par. 2 SIS II).</w:t>
      </w:r>
    </w:p>
    <w:p>
      <w:r>
        <w:rPr>
          <w:b/>
        </w:rPr>
        <w:t>E. 8</w:t>
      </w:r>
    </w:p>
    <w:p>
      <w:r>
        <w:t>Il ressort de ce qui précède que, par sa décision du 11 septembre 2019, le SEM n'a pas violé le droit fédéral ni constaté des faits pertinents de manière inexacte ou incomplète ; en outre, cette décision n'est pas inopportune (art. 49 PA). Le recours doit donc être rejeté.</w:t>
      </w:r>
    </w:p>
    <w:p>
      <w:r>
        <w:rPr>
          <w:b/>
        </w:rPr>
        <w:t>E. 9</w:t>
      </w:r>
    </w:p>
    <w:p>
      <w:r>
        <w:t>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Par décision incidente du 28 novembre 2019, le Tribunal a toutefois mis le recourant au bénéfice de l'assistance judiciaire totale et a désigné Me Léonard Micheli-Jeannet en qualité d'avocat d'office pour la présente procédure, en application de l'art. 65 al. 1 et 2 PA. Il y a lieu, en conséquence, de dispenser le recourant du paiement des frais de procédure et d'allouer à son défenseur d'office une indemnité à titre d'honoraires pour les frais indispensables et relativement élevés occasionnés par la procédure de recours, dans la mesure où il n'a eu que partiellement gain de cause (cf. art. 64 al. 2 PA, par renvoi de l'art. 65 al. 3 PA, en relation avec les art. 8 à 12 FITAF).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(ANDRÉ MOSER ET AL., Prozessieren vor dem Bundesverwaltungsgericht, 2e éd. 2013, ch. 4.84). En outre, selon l'art. 10 al. 2 FITAF, le tarif horaire des avocats est de 200 francs au moins et de 400 francs au plus. En annexe à son acte du 28 septembre 2021, le mandataire du recourant a fait parvenir au Tribunal une liste des opérations effectuées dans le cadre de la présente procédure, lesquelles comprennent essentiellement la rédaction d'un recours et de déterminations à l'intention du TAF, ainsi que plusieurs entretiens avec son client, pour un montant s'élevant à 2'279.65 francs (TVA comprise), correspondant à 635 minutes d'activité, au tarif horaire de 200 francs. Eu égard à des cas similaires, le Tribunal estime que les prestations facturées sont en adéquation avec les besoins de la cause et arrête l'indemnité, TVA comprise, à 2'300 francs, montant que le recourant a l'obligation de rembourser s'il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