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F-5491/2017 vom 8. Juli 2019</w:t>
      </w:r>
    </w:p>
    <w:p>
      <w:r>
        <w:t>Bundesverwaltungsgericht, 2019-07-08, FR</w:t>
      </w:r>
    </w:p>
    <w:p>
      <w:r>
        <w:rPr>
          <w:b/>
        </w:rPr>
        <w:t xml:space="preserve">Quelle: </w:t>
      </w:r>
      <w:r>
        <w:t>https://mcp.opencaselaw.ch/entscheid/bvger_F-5491_2017</w:t>
      </w:r>
    </w:p>
    <w:p>
      <w:r>
        <w:t>FR: TAF F-5491/2017 du 8 juillet 2019</w:t>
      </w:r>
    </w:p>
    <w:p>
      <w:r>
        <w:t>IT: TAF F-5491/2017 del 8 luglio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(cf. art. 1 al. 2 LTAF en relation avec l'arrêt du TF 2C_135/2017 du 21 février 2017 consid. 5 et les réf. cit.).</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2.1</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w:t>
      </w:r>
    </w:p>
    <w:p>
      <w:r>
        <w:rPr>
          <w:b/>
        </w:rPr>
        <w:t>E. 2.2</w:t>
      </w:r>
    </w:p>
    <w:p>
      <w:r>
        <w:t>Les dispositions applicables à la présente cause n'ont pas subi de modifications susceptibles d'influer sur l'issue de celle-ci, dès lors que le contenu de l'art. 67 al. 2 let. a et al. 3 LEtr (sur lequel se fonde la décision querellée) a été repris textuellement au nouvel art. 67 al. 2 let. a et al. 3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4.2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80 al. 1 de l'ordonnance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5.1</w:t>
      </w:r>
    </w:p>
    <w:p>
      <w:r>
        <w:t>Dans la mesure où le recourant, en tant que citoyen portugais, est un ressortissant communautaire, il convient de vérifier si la mesure d'éloignement prononcée à son endroit est conforme à l'ALCP (RS 0142.112.681) (arrêt du TF 2C_1045/2011 du 18 avril 2012 consid. 2.1 ; arrêt du TAF F-2522/2015 du 2 juin 2017 consid. 5). Aux termes de son art. 2 al. 2, la LEtr n'est applicable aux ressortissants des Etats membres de la Communauté européenne que si l'ALCP n'en dispose pas autrement ou ladite loi contient des dispositions plus favorables.</w:t>
      </w:r>
    </w:p>
    <w:p>
      <w:r>
        <w:rPr>
          <w:b/>
        </w:rPr>
        <w:t>E. 5.2</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5.3</w:t>
      </w:r>
    </w:p>
    <w:p>
      <w:r>
        <w:t>Dès lors qu'une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suivant en cela la pratique de la Cour de Justice - en présence d'infractions à la législation fédérale sur les stupéfiants (cf. ATF 139 II 121 ibid. et réf. cit.), étant précisé que la commission d'infractions qui sont en étroite relation avec la toxicomanie du délinquant peuvent, selon les circonstances, atténuer cette position de principe (cf. ATF 139 II 121 consid. 5.3 ; sur l'ensemble des éléments qui précèdent, voir également ATAF 2016/33 consid. 4.3). Un tel risque pourra également être admis pour les multirécidivistes qui n'ont pas tiré de leçon de leurs condamnations pénales antérieures (ATAF 2016/33 ibid.).</w:t>
      </w:r>
    </w:p>
    <w:p>
      <w:r>
        <w:rPr>
          <w:b/>
        </w:rPr>
        <w:t>E. 5.4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6.1</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 ATF 139 II 121 consid. 6.1).</w:t>
      </w:r>
    </w:p>
    <w:p>
      <w:r>
        <w:rPr>
          <w:b/>
        </w:rPr>
        <w:t>E. 6.2</w:t>
      </w:r>
    </w:p>
    <w:p>
      <w:r>
        <w:t>Toutefois, selon l'art. 67 al. 3 seconde phrase LEtr, l'interdiction d'entrée peut être prononcée pour une durée plus longue lorsque la personne concernée constitue une menace grave pour la sécurité et l'ordre publics, qui a été définie comme le palier II par le Tribunal fédéral (ATF 139 II 121 consid. 6.2). Cependant, sa durée sera en principe limitée à 15 ans au maximum, ou à 20 ans en cas de récidive (ATAF 2014/20 consid. 7). En l'espèce, dans la mesure où le SEM a prononcé une interdiction d'entrée d'une durée de cinq ans, le Tribunal n'a pas à examiner l'application de l'art. 67 al. 3 seconde phrase LEtr dans la présente cause.</w:t>
      </w:r>
    </w:p>
    <w:p>
      <w:r>
        <w:rPr>
          <w:b/>
        </w:rPr>
        <w:t>E. 7.1</w:t>
      </w:r>
    </w:p>
    <w:p>
      <w:r>
        <w:t>Il convient ainsi de déterminer, dans un premier temps, si l'interdiction d'entrée que le SEM a prise à l'encontre du recourant en date du 22 août 2017 respecte les conditions légales de l'art. 67 al. 2 let. a LEtr en relation avec l'art. 5 de l'Annexe I ALCP et, dans un deuxième temps, si la durée de cette interdiction d'entrée, fixée à cinq ans, est conforme au principe de la proportionnalité. A ce sujet, il sied de rappeler que le moment déterminant pour juger du bien-fondé d'une interdiction d'entrée est en principe le jour du prononcé de la décision attaquée (cf. arrêt du TF 2C_66/2018 du 7 mai 2018, consid. 5.3.1 ; voir aussi Schärer/Antoniazza, Interdiction d'entrée, AJP 2018 p. 889, note de bas de page 32).</w:t>
      </w:r>
    </w:p>
    <w:p>
      <w:r>
        <w:rPr>
          <w:b/>
        </w:rPr>
        <w:t>E. 7.2</w:t>
      </w:r>
    </w:p>
    <w:p>
      <w:r>
        <w:t>L'autorité intimée a fondé sa décision du 22 août 2017 sur la gravité et la multiplicité des condamnations pénales prononcées à l'endroit du recourant entre le 20 avril 2011 et le 19 février 2017 pour justifier le prononcé de l'interdiction d'entrée d'une durée de 5 ans. Elle a en particulier jugé le comportement du recourant comme « hautement répréhensible » et considéré que celui-ci présentait un risque de récidive. A l'examen du dossier de la cause, le Tribunal constate que le recourant a successivement fait l'objet en Suisse de six condamnations pénales, dont les deux plus graves, à 22 mois et à 20 mois de peines privatives de liberté, ont été prononcées notamment pour brigandage, infraction à la loi fédérale sur les stupéfiants, agression, lésions corporelles simples aggravées, contrainte et menaces. Cela étant, compte tenu de la gravité des infractions dont le recourant a été reconnu coupable et de l'importance des biens juridiques menacés (soit notamment l'intégrité corporelle d'autrui), le Tribunal estime que le risque de réitération d'actes délictueux de la part de l'intéressé s'avère important. Il est par ailleurs symptomatique de constater que la dernière condamnation du recourant, prononcée le 19 février 2017 pour lésions corporelles simples, contrainte, injure et voies de fait, venait sanctionner des délits que celui-ci avait commis en détention, ce qui ne manque pas de démontrer chez l'intéressé une propension particulièrement flagrante à la récidive. Sur un autre plan, il s'impose de relever que, dans le jugement du 5 décembre 2017 par lequel il a ordonné la levée de la mesure de traitement ambulatoire (art. 63 CP) du recourant, le TAPEM a considéré que la poursuite de la mesure de traitement ambulatoire de l'intéressé, après sa nouvelle incarcération du 17 mars 2017, paraissait vouée à l'échec, dès lors que celui-ci avait refusé de s'investir dans son suivi psychothérapeutique et ne s'était pas montré plus réceptif à son traitement depuis sa nouvelle incarcération. Le Tribunal considère dès lors que l'attitude adoptée par le recourant vis-à-vis des mesures thérapeutiques ordonnées à son endroit par les autorités pénales démontre que celui-ci n'entend guère s'investir dans un processus d'amélioration de son comportement et que, dans ces circonstances, celui-ci présente toujours un risque de récidive et représente ainsi une menace grave, réelle et actuelle pour l'ordre et la sécurité publics.</w:t>
      </w:r>
    </w:p>
    <w:p>
      <w:r>
        <w:rPr>
          <w:b/>
        </w:rPr>
        <w:t>E. 7.3</w:t>
      </w:r>
    </w:p>
    <w:p>
      <w:r>
        <w:t>Le Tribunal est ainsi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8.1</w:t>
      </w:r>
    </w:p>
    <w:p>
      <w:r>
        <w:t>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arrêt du TF 2C_233/2014 du 18 juillet 2014 consid. 4.1;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précité consid. 1.3.2 et ATF 129 II 11 consid. 2).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Outre les relations familiales protégées par l'art. 8 CEDH, une mesure d'éloignement peut également constituer une violation de la protection de la vie privée au sens de cette disposition, en particulier chez les étrangers de la deuxième génération, mais cela seulement à certaines conditions : ainsi, une longue présence en Suisse et l'intégration normale qui y est liée ne sont pas suffisants et seules sont déterminantes dans ce cadre des relations professionnelles et sociales particulièrement intenses (cf. ATF 144 I 266 consid. 3.4).</w:t>
      </w:r>
    </w:p>
    <w:p>
      <w:r>
        <w:rPr>
          <w:b/>
        </w:rPr>
        <w:t>E. 8.2</w:t>
      </w:r>
    </w:p>
    <w:p>
      <w:r>
        <w:t>Dans le cas d'espèce, l'impossibilité pour le recourant de résider en Suisse ne résulte pas de l'interdiction d'entrée objet du recours, mais découle primairement de la décision de révocation de son autorisation d'établissement prononcée par les autorités cantonales. ll s'ensuit que l'appréciation de la situation du recourant opérée sous l'angle de l'art. 8 CEDH dans le cadre de la présente procédure vise seulement à examiner si l'interdiction d'entrée prononcée à son endroit complique de façon disproportionnée, d'une part, le maintien de ses relations avec les membres sa famille résidant en Suisse, d'autre part, les relations d'ordre privé qu'il s'est constituées durant son séjour dans ce pays. Or, force est de constater que le recourant n'a établi, ni qu'il se trouverait dans un état de dépendance défini par la jurisprudence susmentionnée vis-à-vis des membres de sa famille résidant en Suisse, ni que la mesure d'éloignement prononcée par le SEM constituerait une atteinte significative et disproportionnée à la protection de sa vie privée au sens de l'art. 8 CEDH. Aussi est-ce en vain qu'il fonde son argumentation sur l'art. 8 CEDH pour s'opposer à l'interdiction d'entrée objet du recours. Il ressort de ce qui précède que la décision attaquée est fondée dans son principe. 9.Cela étant, il convient encore d'examiner si la durée de la mesure d'éloignement prise par l'autorité intimée satisfait au principe de la proportionnalité et de l'égalité de traitement. 9.1 Lorsque l'autorité administrative prononce une interdiction d'entrée, elle doit respecter les principes de proportionnalité et de l'égalité de traitement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l'arrêt du Tribunal administratif fédéral F-5267/2015 du 18 août 2016 consid. 6.1 et la jurisprudence citée). 9.2 Le principe de proportionnalité à laquelle doivent satisfaire les mesures étatiques, telles les mesures d'éloignement, s'impose tant de part du droit interne (art. 5 al. 2 et 36 al. 3 Cst. et 96 LEtr) qu'au regard de la CEDH (art. 8 par. 2 CEDH, pour autant que la mesure étatique en cause constitue une ingérence dans l'exercice du droit à la protection de la vie privée et familiale garanti par l'art. 8 par. 1 CEDH ; cf. ATF 139 I 145 consid. 2.2, 135 II 377 consid. 4.2 et 4.3), ou de l'ALCP (ATF 139 II 121 consid. 6.5.1 et 130 II 176 consid. 3.4.2). 9.3 La détermination de la durée d'une interdiction d'entrée dans un cas concret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 9.4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le recourant est arrivé en Suisse à l'âge de sept ans et a passé la plus grande partie de son existence dans ce pays, où il conserve ses plus proches attaches familiales. Cela étant, force est de constater qu'au vu des nombreuses infractions qu'il a commises durant cette période, l'on ne saurait considérer son intégration comme satisfaisante. Pour ce qui a trait à l'intérêt public, il sied de noter que les actes pour lesquels le recourant a été condamné sont d'une gravité certaine et justifient une intervention des autorités. On ne saurait en effet passer sous silence le fait que le recourant a déployé une activité délictuelle en Suisse pendant de nombreuses années et qu'il existe par conséquent un intérêt public indéniable à le tenir éloigné de Suisse, compte tenu du risque de récidive. Aussi, après une pondération des intérêts publics et privés en présence et au regard de l'ensemble des circonstances du cas d'espèce, le Tribunal estime que la durée de l'interdiction d'entrée prononcée le 22 août 2017 pour une durée de cinq ans est conforme au principe de la proportionnalité. 9.5 Le Tribunal constate enfin que c'est à juste titre que l'autorité inférieure a limité la portée de l'interdiction d'entrée au seul territoire suisse, dès lors que le recourant est un ressortissant communautaire.</w:t>
      </w:r>
    </w:p>
    <w:p>
      <w:r>
        <w:rPr>
          <w:b/>
        </w:rPr>
        <w:t>E. 10</w:t>
      </w:r>
    </w:p>
    <w:p>
      <w:r>
        <w:t>Il ressort de ce qui précède que la décision du SEM du 22 août 2017 est conforme au droit. Le recours est en conséquence rejeté. Vu l'issue de la cause, il y a lieu de mettre les frais de procédure à la charge du recourant,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