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F-5486/2019 vom 10. Februar 2017</w:t>
      </w:r>
    </w:p>
    <w:p>
      <w:r>
        <w:t>Bundesverwaltungsgericht, 2017-02-10, DE</w:t>
      </w:r>
    </w:p>
    <w:p>
      <w:r>
        <w:rPr>
          <w:b/>
        </w:rPr>
        <w:t xml:space="preserve">Quelle: </w:t>
      </w:r>
      <w:r>
        <w:t>https://mcp.opencaselaw.ch/entscheid/bvger_F-5486_2019</w:t>
      </w:r>
    </w:p>
    <w:p>
      <w:r>
        <w:t>FR: TAF F-5486/2019 du 10 février 2017</w:t>
      </w:r>
    </w:p>
    <w:p>
      <w:r>
        <w:t>IT: TAF F-5486/2019 del 10 febbraio 2017</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die angefochtene Verfügung besonders berührt. Obwohl der fest anberaumte Besuchszeitraum inzwischen abgelaufen ist, muss auf ein fortbestehendes Rechtsschutzinteresse geschlossen werden. Dies belegt allein schon die Einreichung des Rechtsmittels. Der Beschwerdeführer ist daher zur Erhebung des Rechtsmittels legitimiert (Art. 48 Abs. 1 VwVG). Auf die im Übrigen frist- und formgerecht eingereichte Beschwerde ist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einer kubanischen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insoweit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kubanische Staatsangehörige unterliegt die Gesuchstellerin unbestrittenermassen der Visumpflicht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w:t>
      </w:r>
    </w:p>
    <w:p>
      <w:r>
        <w:t>Die Vorinstanz begründet vorliegend die Abweisung der Einsprache im Wesentlichen mit der nicht gesicherten Wiederausreise der Gesuchstellerin.</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Kubas planwirtschaftlich organisiertes Wirtschaftssystem gilt als wenig leistungsfähig und befindet sich in einem tiefgreifenden Wandlungsprozess. Das umfassende Wirtschaftsembargo der Vereinigten Staaten von Amerika (USA), welches verschärft werden soll, sowie Umweltkatastrophen erschweren die wirtschaftliche Entwicklung des Landes. Angesichts sehr geringer Löhne im staatlichen Sektor von ca. 31 USD hat ein Grossteil der überdies stark alternden kubanischen Bevölkerung Mühe, die Grundbedürfnisse zu befriedigen. Es gibt eine zunehmende wirtschaftliche Ungleichheit in der Bevölkerung, die unter anderem durch eine doppelte Währung verursacht ist. Die Regierung bemüht sich seit einigen Jahren um die Modernisierung und Effizienzsteigerung des sozialistischen Wirtschaftssystems sowie um Importsubstitution. Das Bruttoinlandsprodukt ist nach offiziellen Angaben im Jahr 2018 zwar um 1 % gestiegen, dies liegt jedoch weit unter den für nachhaltige Entwicklung notwendigen 5-6 % (vgl. zum Ganzen "www.auswaertiges-amt.de" Aussen- und Europapolitik Länder Kuba Wirtschaft, Stand: 3. März 2019, besucht im Dezember 2019).</w:t>
      </w:r>
    </w:p>
    <w:p>
      <w:r>
        <w:rPr>
          <w:b/>
        </w:rPr>
        <w:t>E. 5.3</w:t>
      </w:r>
    </w:p>
    <w:p>
      <w:r>
        <w:t>Noch immer ist bei der kubanischen Bevölkerung ein Trend zur Emigration festzustellen. Zwar begeben sich die meisten Personen in die Vereinigten Staaten (vgl. Urteil des BVGer F-3587/2017 vom 24. November 2017 E. 6.4 m.H.), wo sich mittlerweile eine bedeutende Diaspora befindet. Die Erfahrung zeigt jedoch, dass ein bereits bestehendes Beziehungsnetz auch die Emigration in andere Länder begünstigt. Hinzu kommt noch eine Eigenheit des kubanischen Rechts, durch die kubanischen Staatsangehörigen die Rückkehr nach Kuba verwehrt werden kann, wenn die Landesabwesenheit eine gewisse Dauer überschreitet und weitere Voraussetzungen erfüllt sind, die zumindest teilweise im Einflussbereich der betreffenden Personen selbst liegen (vgl. Urteil des BVGer F-546/2016 vom 13. Juni 2017 E. 6 m.H.).</w:t>
      </w:r>
    </w:p>
    <w:p>
      <w:r>
        <w:rPr>
          <w:b/>
        </w:rPr>
        <w:t>E. 5.4</w:t>
      </w:r>
    </w:p>
    <w:p>
      <w:r>
        <w:t>Vor diesem Hintergrund ist nicht zu beanstanden, dass die Vorinstanz das Risiko einer nicht fristgerechten Wiederausreise von Besucherinnen und Besuchern aus Kuba generell relativ hoch einschätzt. Entgegen den Vorbringen des Beschwerdeführers erweist sich die Auffassung der Vor-instanz demnach grundsätzlich nicht als willkürlich.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5.5</w:t>
      </w:r>
    </w:p>
    <w:p>
      <w:r>
        <w:t>Bei der Gesuchstellerin handelt es sich um eine 24-jährige, ledige und erwerbslose Mutter eines vierjährigen Sohnes. Bezüglich ihrer privaten Situation auf Kuba lässt sich den Akten entnehmen, dass sie Hausfrau ist. Der Beschwerdeführer macht geltend, sein Gast wolle nach dem Aufenthalt in der Schweiz zu ihrer Familie, insbesondere ihrem Sohn, zurückkehren (SEM act. 4/41). Als alleinerziehende Mutter eines Sohnes dürfte die Gesuchstellerin durchaus familiäre Verpflichtungen im Heimatland haben. Das Zurücklassen eines minderjährigen Kindes bildet für sich allein aber noch keine Garantie für eine anstandslose und fristgerechte Wiederausreise nach einem Besuchsaufenthalt. Die Erfahrung zeigt, dass es in aller Regel vielmehr die individuell herrschenden wirtschaftlichen und sozialen Verhältnisse sind, die letztlich über Rückkehr oder Verbleib im Ausland entscheiden. Dass eine Familie vorübergehend getrennt wird, wird je nach Interessenlage in Kauf genommen. Dies umso eher, wenn - wie vorliegend - die Betreuung des Kindes durch nahe Angehörige - in casu dessen Grossmutter - sichergestellt werden kann und die rechtliche Möglichkeit besteht, dieses Kind, für welches die Gesuchstellerin die elterliche Sorge und Obhut innehat, später nachzuziehen (vgl. Urteil des BVGer C-2552/2014 vom 2. Dezember 2014 E. 6.1 m.H.). Die familiären und persönlichen Verpflichtungen der Gesuchstellerin lassen eine längere Abwesenheit derselben zu und sind daher nicht so beschaffen, dass sie die Gesuchstellerin in nachhaltiger Weise von einer Emigration abhalten könnten.</w:t>
      </w:r>
    </w:p>
    <w:p>
      <w:r>
        <w:rPr>
          <w:b/>
        </w:rPr>
        <w:t>E. 5.6</w:t>
      </w:r>
    </w:p>
    <w:p>
      <w:r>
        <w:t>Auch in wirtschaftlicher Hinsicht kann nichts zu ihren Gunsten abgeleitet werden. Die Gesuchstellerin gab im Antrag auf Erteilung eines Schengen-Visums an, Hausfrau (SEM act. 2/23) und somit nicht erwerbstätig zu sein. In den Akten finden sich weder Belege noch Nachweise hinsichtlich ihrer Vermögensverhältnisse. Mangels Nachweises ist insgesamt nicht von wirtschaftlichen Verhältnissen auszugehen, welche die Gesuchstellerin von einer Emigration abzuhalten vermöchten, zumal sämtliche mit dem Besuchsaufenthalt verbundene Kosten vom Gastgeber übernommen würden.</w:t>
      </w:r>
    </w:p>
    <w:p>
      <w:r>
        <w:rPr>
          <w:b/>
        </w:rPr>
        <w:t>E. 6</w:t>
      </w:r>
    </w:p>
    <w:p>
      <w:r>
        <w:t>Nach dem Gesagten besteht keine zureichende Gewähr für eine fristgerechte Wiederausreise. Auch wenn der Wunsch des Beschwerdeführers, die Gesuchstellerin in die Schweiz einzuladen, verständlich ist, gilt es zu bedenken, dass er als Gastgeber nur für gewisse finanzielle Risiken Garantie leisten kann, nicht aber - mangels rechtlicher und faktischer Durchsetzbarkeit - für ein bestimmtes Verhalten seines Gastes (vgl. BVGE 2009/27 E. 9). Aufgrund dieser Ausführungen fehlt es an einer unabdingbaren Voraussetzung für die Erteilung eines einheitlichen Visums für den gesamten Schengen-Raum.</w:t>
      </w:r>
    </w:p>
    <w:p>
      <w:r>
        <w:rPr>
          <w:b/>
        </w:rPr>
        <w:t>E. 7</w:t>
      </w:r>
    </w:p>
    <w:p>
      <w:r>
        <w:t>Unbehelflich ist vor diesem Hintergrund auch der Umstand, dass sich die Gesuchstellerin anlässlich ihres Besuchsaufenthaltes in der Schweiz zahnmedizinisch behandeln lassen will. Gemäss Beschwerde ist das Einsetzen zweier Implantate geplant. In Übereinstimmung mit der Vorinstanz ist davon auszugehen, dass in Kuba der Zugang zu medizinischen Dienstleistungen - trotz leichter Abnahme bezüglich der Qualität der Behandlungen - weiterhin gewahrt ist (vgl. "www.auswaertiges-amt.de" Aussen- und Europapolitik Länder Kuba Politisches Porträt, Stand: 5. November 2019; Álvaro Fuente, How does Cuba manage to achieve first-world health statistics?, El Pais, 10. Februar 2017; jeweils besucht im Dezember 2019). Allein die Tatsache, dass die Schweiz bei zahnmedizinischen Eingriffen einen höheren Standard vorweist, vermag die Einreise nicht zu rechtfertigen.</w:t>
      </w:r>
    </w:p>
    <w:p>
      <w:r>
        <w:rPr>
          <w:b/>
        </w:rPr>
        <w:t>E. 8</w:t>
      </w:r>
    </w:p>
    <w:p>
      <w:r>
        <w:t>Die Voraussetzungen für die Erteilung von Visa aus humanitären Gründen (vgl. E. 4.5) sind vorliegend ebenfalls nicht erfüllt.</w:t>
      </w:r>
    </w:p>
    <w:p>
      <w:r>
        <w:rPr>
          <w:b/>
        </w:rPr>
        <w:t>E. 9</w:t>
      </w:r>
    </w:p>
    <w:p>
      <w:r>
        <w:t>Gestützt auf die obigen Erwägungen ist die angefochtene Verfügung im Lichte von Art. 49 VwVG nicht zu beanstanden. Die Beschwerde ist daher abzuweisen.</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