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F-547/2021 vom 13. April 2022</w:t>
      </w:r>
    </w:p>
    <w:p>
      <w:r>
        <w:t>Bundesverwaltungsgericht, 2022-04-13, FR</w:t>
      </w:r>
    </w:p>
    <w:p>
      <w:r>
        <w:rPr>
          <w:b/>
        </w:rPr>
        <w:t xml:space="preserve">Quelle: </w:t>
      </w:r>
      <w:r>
        <w:t>https://mcp.opencaselaw.ch/entscheid/bvger_F-547_2021</w:t>
      </w:r>
    </w:p>
    <w:p>
      <w:r>
        <w:t>FR: TAF F-547/2021 du 13 avril 2022</w:t>
      </w:r>
    </w:p>
    <w:p>
      <w:r>
        <w:t>IT: TAF F-547/2021 del 13 aprile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La recourante a qualité pour recourir (art. 48 al. 1 PA). Le recours, présenté dans la forme et les délais prescrits par la loi, est recevable(art.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arrêt du TF 1C_454/2017 du 16 mai 2018 consid. 4.1 et 4.2). Toutefois, l'autorité saisie se limite en principe aux griefs soulevés et n'examine les questions de droit non invoquées que dans la mesure où les arguments des parties ou le dossier l'y incitent (cf. ATF 135 I 91 consid. 2.1 et ATAF 2014/24 consid. 2.2). Dans son arrêt, le Tribunal prend en considération l'état de fait existant au moment où il statue (ATAF 2014/1 consid. 2).</w:t>
      </w:r>
    </w:p>
    <w:p>
      <w:r>
        <w:rPr>
          <w:b/>
        </w:rPr>
        <w:t>E. 3.1</w:t>
      </w:r>
    </w:p>
    <w:p>
      <w:r>
        <w:t>La décision d'octroi de naturalisation facilitée du 13 avril 2017, entrée en force le 25 mai 2017,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3.2</w:t>
      </w:r>
    </w:p>
    <w:p>
      <w:r>
        <w:t>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rPr>
          <w:b/>
        </w:rPr>
        <w:t>E. 3.3</w:t>
      </w:r>
    </w:p>
    <w:p>
      <w:r>
        <w:t>Bien que la recourante ait acquis la nationalité suisse en vertu de l'ancien droit, tant la décision querellée que les faits déterminants ayant entraîné l'annulation de la naturalisation facilitée, à savoir la séparation de fait du couple, l'annonce au SEM de la date de la séparation de fait, ainsi que l'ouverture de la procédure en annulation de la naturalisation facilitée, se sont produits après le 1er janvier 2018, soit après l'entrée en vigueur du nouveau droit, si bien qu'il y a lieu d'appliquer ici la loi sur la nationalité suisse du 20 juin 2014, entrée en vigueur le 1er janvier 2018 (cf. arrêt de référence du TAF F-1034/2019 du 7 décembre 2020 consid. 3).</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Il est à noter que les conditions de l'ancien droit relatives à la durée de la communauté conjugale (respectivement de l'union conjugale) n'ont pas été modifiées par le nouveau droit (cf. art. 27 al. 1 aLN). 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 ; cf. également arrêts du TF 1C_588/2017 consid. 5.1 et 1C_362/2017 consid. 2.2.1).</w:t>
      </w:r>
    </w:p>
    <w:p>
      <w:r>
        <w:rPr>
          <w:b/>
        </w:rPr>
        <w:t>E. 5.3</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confirmé par arrêt du TF 1C_449/2019 du 8 juin 2020 ;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6.1</w:t>
      </w:r>
    </w:p>
    <w:p>
      <w:r>
        <w:t>A titre liminaire, le Tribunal retient que les conditions formelles d'annulation de la naturalisation facilitée prévues par l'art. 36 LN sont réalisées en l'espèce. En effet, la naturalisation facilitée accordée à la recourante par décision du 13 avril 2017, entrée en force le 25 mai 2017, a été annulée par l'autorité inférieure le 4 janvier 2021.</w:t>
      </w:r>
    </w:p>
    <w:p>
      <w:r>
        <w:rPr>
          <w:b/>
        </w:rPr>
        <w:t>E. 6.2</w:t>
      </w:r>
    </w:p>
    <w:p>
      <w:r>
        <w:t>L'autorité inférieure a eu connaissance des faits déterminants pour engager une procédure d'annulation de la naturalisation facilitée le 24 avril 2019, à savoir la séparation du couple en octobre 2017. La recourante a été avertie de l'ouverture de la procédure d'annulation de sa naturalisation facilitée par courrier du 3 mai 2019, auquel elle a donné suite par courriers des 3 juillet et 14 octobre 2019. Les délais de prescription (relative et absolue) de l'art. 36 al. 2 LN ont donc été respectés.</w:t>
      </w:r>
    </w:p>
    <w:p>
      <w:r>
        <w:rPr>
          <w:b/>
        </w:rPr>
        <w:t>E. 6.3</w:t>
      </w:r>
    </w:p>
    <w:p>
      <w:r>
        <w:t>Il convient, partant,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la recourante est arrivée en Suisse le 2 décembre 2010 afin d'y épouser, le 16 décembre 2010, un ressortissant suisse. Le 12 novembre 2016, l'intéressée a introduit une requête de naturalisation facilitée. Par décision du 13 avril 2017, entrée en force 25 mai 2017, elle a obtenu la nationalité helvétique, après avoir contresigné, le 1er avril 2017, une déclaration de vie commune confirmant la stabilité du mariage. Le couple s'est séparé une première fois en octobre 2017. Par convention du 7 novembre 2017, ratifiée séance tenante par le Président du Tribunal d'arrondissement de Lausanne pour valoir ordonnance de mesures protectrices de l'union conjugale, le couple a réglé les modalités de sa séparation. La vie commune a été reprise deux semaines plus tard. Le 23 octobre 2018, l'époux a déposé une requête de mesures protectrices de l'union conjugale. Une convention valant ordonnance partielle de mesures protectrices de l'union conjugale a été ratifiée le 21 janvier 2019. Les époux y ont convenu de vivre séparés à partir du mois d'août 2018. Il s'est donc écoulé tout au plus un an et cinq mois entre la signature de la déclaration de vie commune (1er avril 2017) et la séparation de fait des époux (août 2018), respectivement un an et six mois entre l'entrée en force de la décision de naturalisation (mai 2017) et le second dépôt de mesures protectrices de l'union conjugale (octobre 2018). En ce sens, les éléments précités et leur enchaînement chronologique rapide permettent de faire application de la présomption jurisprudentielle selon laquelle, au moment de la signature de la déclaration de vie commune et, a fortiori, lors de la décision de naturalisation, la communauté conjugale des intéressés n'était plus stable et orientée vers l'avenir. Le court laps de temps séparant la signature de la déclaration de vie commune, l'octroi de la naturalisation facilitée et la séparation des conjoints - et dans une moindre mesure la procédure subséquente de divorce - laisse présumer que la recourante n'envisageait déjà plus une vie commune partagée avec son époux lors de la signature de la déclaration de vie commune, respectivement au moment de la décision de naturalisation, et que celle-ci a donc été obtenue frauduleusement.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1C_436/2018 du 9 janvier 2019 consid. 4.3, 1C_362/2017 du 12 octobre 2017 consid. 2.3 et 1C_172/2012 du 11 mai 2012 consid. 2.3).</w:t>
      </w:r>
    </w:p>
    <w:p>
      <w:r>
        <w:rPr>
          <w:b/>
        </w:rPr>
        <w:t>E. 8</w:t>
      </w:r>
    </w:p>
    <w:p>
      <w:r>
        <w:t>Cette présomption est en outre sensiblement renforcée par d'autres éléments du dossier.</w:t>
      </w:r>
    </w:p>
    <w:p>
      <w:r>
        <w:rPr>
          <w:b/>
        </w:rPr>
        <w:t>E. 8.1</w:t>
      </w:r>
    </w:p>
    <w:p>
      <w:r>
        <w:t>Le dossier de la cause révèle de sérieuses difficultés rencontrées par le couple - qui ont eu un impact à ce point destructeur qu'elles ont amené à plusieurs séparations et à la rupture définitive - sont apparues et se sont développées dès le début de leur vie commune et qui étaient donc présentes avant la signature du formulaire « Déclaration concernant la communauté conjugale » et l'octroi de la naturalisation facilitée à la recourante, ce qui incite à penser que l'union conjugale n'était ni stable, ni tournée vers l'avenir.</w:t>
      </w:r>
    </w:p>
    <w:p>
      <w:r>
        <w:rPr>
          <w:b/>
        </w:rPr>
        <w:t>E. 8.1.1</w:t>
      </w:r>
    </w:p>
    <w:p>
      <w:r>
        <w:t>Les époux n'ont pas habité en ménage commun et n'ont passé que peu de temps ensemble avant leur mariage. En effet, ils ont fait connaissance par le biais d'un site de rencontres. Le futur époux de la recourante est allé la rencontrer au Maroc fin août ou début septembre 2009, puis les futurs époux se sont rencontrés à K._______ (France)(cf. dossier K, pièce 25, pièce 49, question 1 et pièce 53, questions 1.1 à 1.4). Ils se sont mariés religieusement au Maroc, et le 16 décembre 2010 civilement en Suisse (cf. dossier K, pièce 25, pièce 49, question 1 et pièce 53, questions 1.1 à 1.4). Les époux reconnaissent avoir connu des difficultés dès le début de leur vie commune en 2011, que l'intéressée a d'ailleurs qualifiées d'« importantes » (cf. dossier K, pièces 24, 49, question 2.1 et pièce 53, question 2). Ces déclarations sont corroborées par quatre interventions policières au domicile conjugal entre mai et juin 2011 pour violence domestique ou disputes entre les époux, le constat médical du Centre universitaire romand de médecine légale établi le 31 mai 2011 suite à des faits rapportés comme s'étant déroulés le 28 mai 2011 et la requête de mesures provisionnelles de l'union conjugale et superprovisonnelles du 18 juillet 2011 déposée par la recourante (cf. dossier K, pièces 6 et 25). Au mois d'octobre 2011, elle a cependant souhaité mettre un terme à ladite procédure sans en étayer les motifs (cf. dossier K, pièce 25).</w:t>
      </w:r>
    </w:p>
    <w:p>
      <w:r>
        <w:rPr>
          <w:b/>
        </w:rPr>
        <w:t>E. 8.1.2</w:t>
      </w:r>
    </w:p>
    <w:p>
      <w:r>
        <w:t>Toutefois, des tensions ont perduré après 2011 comme cela ressort de l'ordonnance de non-entrée en matière du Ministère public de l'arrondissement de Lausanne du 18 juin 2013. Les faits du 28 avril 2013 reprochés par la recourante à l'égard de son époux étaient constitutifs de voies de fait mais l'élément constitutif de la plainte pénale faisait défaut(cf. dossier K, pièce 25). Aussi, le constat médical du constat médical du 30 avril 2014 rapporte que la recourante présentait des lésions au niveau des membres supérieurs. L'intéressée a soutenu qu'elle avait été victime d'une agression par son époux le 27 avril 2014 (cf. dossier K, pièce 25, page 429 s).</w:t>
      </w:r>
    </w:p>
    <w:p>
      <w:r>
        <w:rPr>
          <w:b/>
        </w:rPr>
        <w:t>E. 8.1.3</w:t>
      </w:r>
    </w:p>
    <w:p>
      <w:r>
        <w:t>Une raison commune avancée comme étant une source de tensions, entre 2011 et 2014, était la présence de la belle-mère de la recourante dans l'appartement conjugal. En 2012, cette dernière aurait quitté une première fois ledit logement mais serait revenue habiter avec le couple suite à des problèmes de santé, puis six mois en 2014 en vue de la naissance de leur premier enfant. En mai 2014, elle serait partie définitivement du logement, notamment afin que le couple puisse retrouver son intimité et à cause d'une cohabitation rendue difficile en raison des disputes entre ces derniers (cf. dossier K, pièce 49, question 2.2 et pièce 53, questions 2.1 à 2.9). Ce départ n'a toutefois pas mis fin aux problèmes des époux. Les tensions au sein du couple ont persisté mais les époux divergent sur leurs causes. L'intéressée a exposé que la relation du couple s'était dégradée suite à la naissance de leur premier enfant le (...) 2014 et que de vives tensions avaient perduré durant plusieurs semaines(cf. dossier K, pièce 21). L'époux a de son côté étayé comme différends, notamment les tâches ménagères, les sorties de son épouse et les finances. Il soutient que son épouse a ouvert un profil sur un site de rencontres vers 2015 et qu'elle espionnait son téléphone portable. Son épouse n'aurait pas supporté qu'il puisse avoir des économies sur son compte. De même, son époux lui a aussi reproché son peu d'engagement dans les tâches ménagères lui faisant reproche de préférer aller au fitness et sortir, ainsi que de provoquer des conflits (cf. dossier K, pièce 49, question 2.2).</w:t>
      </w:r>
    </w:p>
    <w:p>
      <w:r>
        <w:rPr>
          <w:b/>
        </w:rPr>
        <w:t>E. 8.1.4</w:t>
      </w:r>
    </w:p>
    <w:p>
      <w:r>
        <w:t>En 2015, soit l'année avant la demande de naturalisation en novembre 2016, les époux ont entrepris une thérapie de couple (cf. dossier K, pièce 49, question 2.4 et pièce 53, questions 4.1 à 4.2). Du point de vue de la recourante, ce suivi aurait porté ses fruits puisqu'il y aurait eu selon elle « une nette amélioration dans le comportement de C._______ et du coup la relation de couple était stable durant l'année 2016 au moment où A._______ a fait la demande de naturalisation facilitée et au moment de [r]entrée en force de sa naturalisation elle n'avait en aucun cas l'intention de se séparer de C._______. Bien au contraire, elle croyait légiti[me]ment à l'avenir de son couple et de la famille (sic) » (cf. dossier K, pièce 53, questions 4.1 à 4.2). Cette version est toutefois contredite par plusieurs moyens de preuve. Premièrement, le rapport de cabinet de psychiatrie et de psychothérapie indique que les conditions pour poursuivre ladite thérapie n'étaient plus remplies en mars 2015 et que l'intéressée avait bénéficié d'un suivi individuel de quelques séances(cf. dossier K, pièce 40). Ensuite, la police a dû intervenir à deux reprises au domicile des conjoints en avril et juin 2016 (cf. dossier K, pièce 6). Finalement, son époux a indiqué qu'au moment de l'entrée en force de la naturalisation de son épouse en mai 2017, « (...) étant donné que notre séparation a eu lieu fin d'année 2017, nous n'avions pas passé une année stable et tournée vers l'avenir » (cf. dossier K, pièce 49).</w:t>
      </w:r>
    </w:p>
    <w:p>
      <w:r>
        <w:rPr>
          <w:b/>
        </w:rPr>
        <w:t>E. 8.2</w:t>
      </w:r>
    </w:p>
    <w:p>
      <w:r>
        <w:t>En définitive, les éléments exposés ci-dessus constituent un faisceau d'indices suffisant permettant de conclure que la communauté conjugale des intéressés n'était ni stable, ni tournée vers l'avenir au moment de l'octroi de la naturalisation facilitée de la recourante.</w:t>
      </w:r>
    </w:p>
    <w:p>
      <w:r>
        <w:rPr>
          <w:b/>
        </w:rPr>
        <w:t>E. 9</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w:t>
      </w:r>
    </w:p>
    <w:p>
      <w:r>
        <w:rPr>
          <w:b/>
        </w:rPr>
        <w:t>E. 9.1</w:t>
      </w:r>
    </w:p>
    <w:p>
      <w:r>
        <w:t>Dans son recours, l'intéressée a mis en avant une dispute postérieure à la signature de la déclaration de vie commune qui aurait mis définitivement un terme au lien conjugal, lors de laquelle elle dit avoir été menacée de mort par son époux. En outre, pour la première fois, son époux aurait introduit une demande de divorce. Par ces arguments, la recourante tente ainsi d'accréditer la thèse selon laquelle la déliquescence de son couple serait postérieure à sa naturalisation facilitée.</w:t>
      </w:r>
    </w:p>
    <w:p>
      <w:r>
        <w:rPr>
          <w:b/>
        </w:rPr>
        <w:t>E. 9.2</w:t>
      </w:r>
    </w:p>
    <w:p>
      <w:r>
        <w:t>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9.3</w:t>
      </w:r>
    </w:p>
    <w:p>
      <w:r>
        <w:t>En l'espèce, la recourante a mis en avant un évènement qui s'est déroulé le 26 octobre 2017. Son époux l'aurait menacée de mort à l'aide d'un couteau à pain en présence de leurs enfants (cf. dossier K, pièce 24, pages 268 s et pièce 53, question 5). Bien que les époux se soient effectivement séparés à ce moment comme l'atteste notamment l'annonce faite au Contrôle des habitants et la requête de mesures protectrices de l'union conjugale, ils ont repris la vie commune deux semaines après cette séparation (cf. dossier K, pièces 3, 17 et 21, page 233 ss, pièce 49, question 4.1 et pièce 53, question 6). Par ailleurs, bien qu'une plainte pénale ait été déposée le 26 octobre 2016 par l'intéressée, aucune condamnation n'a été prononcée à l'encontre de son époux pour les faits précités (cf. act. 17 et 18 TAF). Ainsi, c'est à tort que la recourante se prévaut de cette dispute comme ayant été « (...) un évènement suffisamment extraordinaire pour mettre définitivement un terme au lien conjugal » (cf. act. 1 TAF, page 13). Enfin, pour autant que la recourante tente de se prévaloir du fait que son ex-époux aurait « initié » la procédure de divorce, le Tribunal rappelle qu'en matière d'annulation de naturalisation, il n'est pas pertinent de savoir à qui incombe la responsabilité de la désunion (arrêt du TF 1C_342/2013 du 23 janvier 2014 consid. 4.3).</w:t>
      </w:r>
    </w:p>
    <w:p>
      <w:r>
        <w:rPr>
          <w:b/>
        </w:rPr>
        <w:t>E. 9.4</w:t>
      </w:r>
    </w:p>
    <w:p>
      <w:r>
        <w:t>Quoi qu'il en soit, le raisonnement de la recourante ne change rien au fait que les ex-époux ont connu rapidement de vives tensions suite à leur mise en ménage et ont pris des mesures concrètes en faisant appel à une aide extérieure pour sauver leur couple. Toutefois, cette démarche a débouché sur un échec déjà en 2015 (cf. consid. 8.2 supra). Il apparaît donc que le processus de délitement du lien conjugal s'est effectué au fil des années et que la communauté conjugale n'était plus stable et orientée vers l'avenir au moment de l'octroi de la naturalisation facilitée.</w:t>
      </w:r>
    </w:p>
    <w:p>
      <w:r>
        <w:rPr>
          <w:b/>
        </w:rPr>
        <w:t>E. 9.5</w:t>
      </w:r>
    </w:p>
    <w:p>
      <w:r>
        <w:t>Au vu de l'ensemble des pièces du dossier et en procédant à une appréciation globale des preuves, le Tribunal ne distingue aucun évènement extraordinaire ayant entraîné la détérioration rapide du lien conjugal des intéressés : les difficultés rencontrées par le couple, qui ont conduit à une irrémédiable et progressive dégradation de leur lien conjugal, ne sauraient être considérées comme constitutives d'un élément libérateur au sens de la jurisprudence. Pour les mêmes raisons, surtout au vu des nombreuses procédures et interventions de police égrenant la vie du couple, il convient de conclure que la recourante ne pouvait ignorer, que son couple ne représentait plus une union stable et tournée vers l'avenir. Elle n'a de surcroît pas rendu vraisemblable que les problèmes rencontrés étaient mineurs et qu'elle n'aurait pas pu en mesurer l'importance.</w:t>
      </w:r>
    </w:p>
    <w:p>
      <w:r>
        <w:rPr>
          <w:b/>
        </w:rPr>
        <w:t>E. 9.6</w:t>
      </w:r>
    </w:p>
    <w:p>
      <w:r>
        <w:t>En conclusion, le Tribunal considère que les époux ne formaient plus une communauté conjugale effective, stable et orientée vers l'avenir au moment de la signature de la déclaration concernant la communauté conjugale du 1er avril 2017. Par ailleurs, la recourante n'est pas parvenue à rendre vraisemblable la survenance - postérieurement à sa naturalisation facilitée - d'un événement extraordinaire de nature à entraîner une soudaine rupture du lien conjugal. Sur le vu de l'ensemble des éléments du dossier, il n'est au surplus pas crédible que l'intéressée n'ait pas été consciente - au moment de la signature de la déclaration de vie commune et lors du prononcé de la naturalisation - que la communauté conjugale alors vécue par les époux ne présentait pas l'intensité et la stabilité requises.</w:t>
      </w:r>
    </w:p>
    <w:p>
      <w:r>
        <w:rPr>
          <w:b/>
        </w:rPr>
        <w:t>E. 9.7</w:t>
      </w:r>
    </w:p>
    <w:p>
      <w:r>
        <w:t>En conséquence, il y a lieu de s'en tenir à la présomption de fait, fondée sur l'enchaînement chronologique des événements survenus avant et après la naturalisation de la recourante, selon laquelle l'union formée par l'intéressée et son époux ne correspondait déjà plus à celle jugée digne de protection par le législateur au moment de la signature de la déclaration de vie commune et lors de la décision de naturalisation.</w:t>
      </w:r>
    </w:p>
    <w:p>
      <w:r>
        <w:rPr>
          <w:b/>
        </w:rPr>
        <w:t>E. 10</w:t>
      </w:r>
    </w:p>
    <w:p>
      <w:r>
        <w:t>Compte tenu de ce qui précède, c'est à bon droit que l'autorité intimée a retenu que l'intéressée avait fait, lors de la procédure de naturalisation facilitée, des déclarations mensongères quant à la stabilité et l'effectivité de sa communauté conjugale. Par sa décision du 4 janvier 2021,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