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F-5479/2021 vom 18. Januar 2022</w:t>
      </w:r>
    </w:p>
    <w:p>
      <w:r>
        <w:t>Bundesverwaltungsgericht, 2022-01-18, DE</w:t>
      </w:r>
    </w:p>
    <w:p>
      <w:r>
        <w:rPr>
          <w:b/>
        </w:rPr>
        <w:t xml:space="preserve">Quelle: </w:t>
      </w:r>
      <w:r>
        <w:t>https://mcp.opencaselaw.ch/entscheid/bvger_F-5479_2021</w:t>
      </w:r>
    </w:p>
    <w:p>
      <w:r>
        <w:t>FR: TAF F-5479/2021 du 18 janvier 2022</w:t>
      </w:r>
    </w:p>
    <w:p>
      <w:r>
        <w:t>IT: TAF F-5479/2021 del 18 gennaio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Einreichung der Beschwerde legitimiert (Art. 48 Abs. 1 VwVG). Auf die im Übrigen frist- und formgerecht eingereichte Beschwerde ist einzutreten (Art. 108 Abs. 3 AsylG und Art. 52 Abs. 1 VwVG).</w:t>
      </w:r>
    </w:p>
    <w:p>
      <w:r>
        <w:rPr>
          <w:b/>
        </w:rPr>
        <w:t>E. 1.3</w:t>
      </w:r>
    </w:p>
    <w:p>
      <w:r>
        <w:t>Die Beschwerde erweist sich – wie im Folgenden zu zeigen sein wird – als offensichtlich unbegründet, weshalb sie im Verfahren einzelrichterli- cher Zuständigkeit mit Zustimmung eines zweiten Richters beziehungs- weise einer zweiten Richterin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und</w:t>
      </w:r>
    </w:p>
    <w:p>
      <w:r>
        <w:t>F-5479/2021 Seite 5 unvollständige Feststellung des rechtserheblichen Sachverhalts gerügt werden (Art. 106 Abs. 1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der Dublin-III-VO als zuständiger Staat bestimmt wird (vgl. auch Art. 7 Abs. 1 Dublin-III-VO). Das Verfahren zur Bestimmung des zuständigen Mitglied- staates wird eingeleitet, sobald in einem Mitgliedstaat erstmals ein Asylan- trag gestellt wird (Art. 20 Abs. 1 Dublin-III-VO). Im Rahmen des Wiederauf- nahmeverfahrens (Art. 23-25 Dublin-III-VO) findet grundsätzlich keine (neue) Zuständigkeitsprüfung nach Kapitel III Dublin-III-VO mehr statt. Der Beschwerdeführer bestreitet nicht, in Slowenien – wenn auch angeb- lich unfreiwillig – ein Asylgesuch gestellt zu haben. Die slowenischen Be- hörden stimmten dem Übernahmeersuchen der Vorinstanz innert der in Art. 25 Abs. 1 Dublin-III-VO festgelegten Frist zu. Die Zuständigkeit Slowe- niens ist somit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t>F-5479/2021 Seite 6</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4.1</w:t>
      </w:r>
    </w:p>
    <w:p>
      <w:r>
        <w:t>Der Beschwerdeführer führt aus, bei der Ankunft in Slowenien zusam- men mit seiner Familie unter dem Vorwand der pandemiebedingten Qua- rantäne in gefängnisartiger Unterbringung eingesperrt und unter un- menschlichen Zuständen isoliert worden zu sein. Während des dortigen Aufenthalts seien sie der Schikane durch aggressive und diskriminierende Polizisten ausgesetzt gewesen, welche ihnen mit der Wegweisung nach Kroatien gedroht hätten. Angesichts der in Slowenien bekannten illegalen Pushbacks gebe es keine Garantie, dass ihnen dort nicht Ähnliches drohen werde. Die Vorinstanz sei daher zur Ausübung des Rechts auf Selbsteintritt nach Art. 17 Abs. 1 Dublin-III-VO zu verpflichten.</w:t>
      </w:r>
    </w:p>
    <w:p>
      <w:r>
        <w:rPr>
          <w:b/>
        </w:rPr>
        <w:t>E. 4.2</w:t>
      </w:r>
    </w:p>
    <w:p>
      <w:r>
        <w:t>Soweit der Beschwerdeführer mit seinen Vorbringen systemische Mängel im slowenischen Asylverfahren und den dortigen Aufnahmebedin- gungen geltend macht, ist auf die ständige Rechtsprechung des Bundes- verwaltungsgerichts zu verweisen, wonach keine wesentlichen Gründe für die Annahme bestehen, das slowenische Asylsystem weise Schwachstel- len im Sinne von Art. 3 Abs. 2 zweiter Satz Dublin-III-VO auf (vgl. anstelle vieler Urteile des BVGer F-5257/2021 vom 8. Dezember 2021 E. 5.2; F- 4851/2021 vom 9. November 2021 E. 6.1 m.H.). Folglich ist die Anwendung von Art. 3 Abs. 2 Dublin-III-VO nicht gerechtfertigt.</w:t>
      </w:r>
    </w:p>
    <w:p>
      <w:r>
        <w:rPr>
          <w:b/>
        </w:rPr>
        <w:t>E. 5</w:t>
      </w:r>
    </w:p>
    <w:p>
      <w:r>
        <w:t>Die Vorinstanz hat sodann das Selbsteintrittsrecht im Sinne von Art. 17 Abs. 1 Dublin-III-VO sowie Art. 29a Abs. 3 AsylV 1 zu Recht nicht ausge- übt:</w:t>
      </w:r>
    </w:p>
    <w:p>
      <w:r>
        <w:rPr>
          <w:b/>
        </w:rPr>
        <w:t>E. 5.1</w:t>
      </w:r>
    </w:p>
    <w:p>
      <w:r>
        <w:t>Zwar kann die Vermutung, Slowenien halte seine völkerrechtlichen Verpflichtungen ein, im Einzelfall widerlegt werden (vgl. E. 3.4 am Ende).</w:t>
      </w:r>
    </w:p>
    <w:p>
      <w:r>
        <w:t>F-5479/2021 Seite 7 Dafür bedarf es aber konkreter und ernsthafter Hinweise, die gegebenen- falls vom Betroffenen glaubhaft darzutun sind (vgl. BVGE 2010/45 E. 7.4; Urteil des BVGer D-5698/2017 vom 6. März 2018 E. 5.3.1). Dies gelingt dem Beschwerdeführer nicht. In Bezug auf die angeblich unmenschlichen Zustände in Slowenien vermag er auch unter Verweis auf die eingereichten Fotos, welche angeblich während der Quarantäne in Slowenien aufgenom- men worden seien, nicht darzutun, dass die ihn bei einer Rückführung zu erwartenden Bedingungen derart schlecht sind, dass sie zu einer Verlet- zung von Art. 4 der EU-Grundrechtecharta bzw. Art. 3 EMRK führen könn- ten. Bei einer allfälligen vorübergehenden Einschränkung der ihm zu- stehenden Aufnahmebedingungen könnte er sich im Übrigen nötigenfalls an die slowenischen Behörden wenden und seine Rechte auf dem Rechts- weg einfordern (vgl. Art. 26 Aufnahmerichtlinie). Ferner bringt der Be- schwerdeführer vor, die slowenische Polizei habe sich ihnen gegenüber aggressiv und diskriminierend verhalten, und ihnen mit der Wegweisung nach Kroatien gedroht. Ohne präzise Kenntnisse der konkreten Umstände, inwiefern dies der Fall gewesen sein soll, kann nicht schon auf eine erheb- liche Verletzung völkerrechtlicher Verpflichtungen geschlossen werden (vgl. Urteil F-5257/2021 E. 6.3). Slowenien ist ein funktionierender Rechts- staat und die Behörden sind grundsätzlich gewillt und fähig, staatlichen Schutz zu gewähren (vgl. Urteil des BVGer F-4495/2021 vom 19. Oktober 2021 E. 6.2). Die Befürchtungen des Beschwerdeführers, in illegaler Weise abgeschoben bzw. der Gefahr von Pushbacks nach Kroatien – mithin selbst Dublin-Mitgliedstaat – ausgesetzt zu werden, sind vor diesem Hin- tergrund rein spekulativ und für das Gericht nicht nachvollziehbar.</w:t>
      </w:r>
    </w:p>
    <w:p>
      <w:r>
        <w:rPr>
          <w:b/>
        </w:rPr>
        <w:t>E. 5.2</w:t>
      </w:r>
    </w:p>
    <w:p>
      <w:r>
        <w:t>Auch sprechen keine medizinischen Gründe gegen eine Überstellung des Beschwerdeführers nach Slowenien. Die Annahme eines Verstosses gegen Art. 3 EMRK ist an strenge Voraussetzungen geknüpft; ein Verstoss kann vorliegen, wenn eine schwer kranke Person durch die Abschiebung mit einem realen Risiko konfrontiert würde, einer ernsten, raschen und un- wiederbringlichen Verschlechterung ihres Gesundheitszustandes ausge- setzt zu werden, die zu intensivem Leiden oder einer erheblichen Verkür- zung der Lebenserwartung führen würde (vgl. Urteil des EGMR Paposhvili gegen Belgien vom 13. Dezember 2016, Grosse Kammer, 41738/10, §§ 180-193 m.w.H.). Aus den Akten ergeben sich keine Hinweise auf eine schwerwiegende Erkrankung, welche, sofern notwendig, nicht auch in Slo- wenien behandelt werden könnte.</w:t>
      </w:r>
    </w:p>
    <w:p>
      <w:r>
        <w:rPr>
          <w:b/>
        </w:rPr>
        <w:t>E. 6</w:t>
      </w:r>
    </w:p>
    <w:p>
      <w:r>
        <w:t>Der angefochtene Entscheid verletzt weder Art. 3 EMRK noch eine andere, die Schweiz bindende völkerrechtliche Bestimmung. Eine gesetzeswidrige</w:t>
      </w:r>
    </w:p>
    <w:p>
      <w:r>
        <w:t>F-5479/2021 Seite 8 Ermessensausübung der Vorinstanz ist nicht ersichtlich. Demzufolge ist nicht zu beanstanden, dass die Vorinstanz von dem in Art. 17 Abs. 1 Dublin-III-VO und in Art. 29a Abs. 3 AsylV 1 verankerten Selbsteintritts- recht keinen Gebrauch gemacht hat.</w:t>
      </w:r>
    </w:p>
    <w:p>
      <w:r>
        <w:rPr>
          <w:b/>
        </w:rPr>
        <w:t>E. 7</w:t>
      </w:r>
    </w:p>
    <w:p>
      <w:r>
        <w:t>Die Vorinstanz ist damit zu Recht auf das Asylgesuch nicht eingetreten und hat die Überstellung nach Slowenien verfügt. Die Beschwerde ist abzuwei- sen. Mit dem vorliegenden Urteil fällt die mit Zwischenverfügung vom 28. Dezember 2021 gewährte aufschiebende Wirkung dahin.</w:t>
      </w:r>
    </w:p>
    <w:p>
      <w:r>
        <w:rPr>
          <w:b/>
        </w:rPr>
        <w:t>E. 8</w:t>
      </w:r>
    </w:p>
    <w:p>
      <w:r>
        <w:t>Bei der Bestimmung der konkreten Modalitäten der Überstellung des Be- schwerdeführers ist den spezifischen familiären Umständen Rechnung zu tragen (insbesondere von der Ehefrau und den Kindern getrennte Über- stellung). Die slowenischen Behörden sind vorgängig in geeigneter Weise darüber zu informieren.</w:t>
      </w:r>
    </w:p>
    <w:p>
      <w:r>
        <w:rPr>
          <w:b/>
        </w:rPr>
        <w:t>E. 9</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F-5479/2021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