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F-5474/2020 vom 13. November 2020</w:t>
      </w:r>
    </w:p>
    <w:p>
      <w:r>
        <w:t>Bundesverwaltungsgericht, 2020-11-13, DE</w:t>
      </w:r>
    </w:p>
    <w:p>
      <w:r>
        <w:rPr>
          <w:b/>
        </w:rPr>
        <w:t xml:space="preserve">Quelle: </w:t>
      </w:r>
      <w:r>
        <w:t>https://mcp.opencaselaw.ch/entscheid/bvger_F-5474_2020</w:t>
      </w:r>
    </w:p>
    <w:p>
      <w:r>
        <w:t>FR: TAF F-5474/2020 du 13 novembre 2020</w:t>
      </w:r>
    </w:p>
    <w:p>
      <w:r>
        <w:t>IT: TAF F-5474/2020 del 13 novembre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[SR 142.31];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23 - 25 Dublin-III-VO) findet grundsätzlich keine (neue) Zuständigkeitsprüfung nach Kapitel III Dublin-III-VO mehr statt (vgl. zum Ganzen BVGE 2017 VI/5 E. 6.2 und 8.2.1).</w:t>
      </w:r>
    </w:p>
    <w:p>
      <w:r>
        <w:rPr>
          <w:b/>
        </w:rPr>
        <w:t>E. 3.3</w:t>
      </w:r>
    </w:p>
    <w:p>
      <w:r>
        <w:t>Der Beschwerdeführer bestreitet nicht, in Rumänien - wenn auch angeblich unfreiwillig - ein Asylgesuch gestellt zu haben. Die rumänischen Behörden hiessen das Gesuch der Vorinstanz um Wiederaufnahme gestützt auf Art. 18 Abs. 1 Bst. c Dublin-III-VO am 26. Oktober 2020 ausdrücklich gut. Die Zuständigkeit Rumäniens steht somit grundsätzlich fest.</w:t>
      </w:r>
    </w:p>
    <w:p>
      <w:r>
        <w:rPr>
          <w:b/>
        </w:rPr>
        <w:t>E. 4.1</w:t>
      </w:r>
    </w:p>
    <w:p>
      <w:r>
        <w:t>Der Beschwerdeführer moniert, das rumänische Asylsystem weise verschiedene Schwachstellen auf. Wie die Vorinstanz zutreffend ausgeführt hat, gibt es keine wesentlichen Gründe für die Annahme, dass das Asylverfahren und die Aufnahmebedingungen für asylsuchende Personen in Rumänien systemische Schwachstellen im Sinne von Art. 3 Abs. 2 Sätze 2 und 3 Dublin-III-VO hätten, die eine Gefahr einer unmenschlichen oder entwürdigenden Behandlung im Sinne des Artikels 4 der EU-Grundrechtecharta mit sich bringen würden. Bislang haben weder das Bundesverwaltungsgericht noch der Europäische Gerichtshof für Menschenrechte (EGMR) - und im Übrigen auch nicht der Europäische Gerichtshof (EuGH) - systemische Schwachstellen im rumänischen Asylsystem erkannt (vgl. Urteile des BVGer F-4980/2020 vom 14. Oktober 2020 E. 5.2; F-2060/2019 / F-2061/2019 vom 10. Mai 2019 E. 6.3). Für eine Änderung der Rechtsprechung besteht auch in Würdigung der vom Beschwerdeführer gemachten Äusserungen zu seiner Behandlung in Rumänien sowie des von ihm beigebrachten Berichts zur Lage Asylsuchender in Rumänien keine Veranlassung.</w:t>
      </w:r>
    </w:p>
    <w:p>
      <w:r>
        <w:rPr>
          <w:b/>
        </w:rPr>
        <w:t>E. 4.2</w:t>
      </w:r>
    </w:p>
    <w:p>
      <w:r>
        <w:t>Folglich ist die Anwendung von Art. 3 Abs. 2 Dublin-III-VO nicht gerechtfertigt.</w:t>
      </w:r>
    </w:p>
    <w:p>
      <w:r>
        <w:rPr>
          <w:b/>
        </w:rPr>
        <w:t>E. 5</w:t>
      </w:r>
    </w:p>
    <w:p>
      <w:r>
        <w:t>Nachfolgend ist zu prüfen, ob - wie beantragt, das Selbsteintrittsrecht nach Art. 17 Abs. 1 erster Satz Dublin-III-VO, konkretisiert in Art. 29a Abs. 3 der Asylverordnung 1 vom 11. August 1999 (AsylV 1, SR 142.311), auszuüben ist.</w:t>
      </w:r>
    </w:p>
    <w:p>
      <w:r>
        <w:rPr>
          <w:b/>
        </w:rPr>
        <w:t>E. 5.1</w:t>
      </w:r>
    </w:p>
    <w:p>
      <w:r>
        <w:t>Der Beschwerdeführer macht geltend, bei seiner Einreise nach Rumänien geschlagen und von der Polizei gezwungen worden zu sein, seine Fingerabdrücke abzugeben. Man habe ihm gedroht, ihn andernfalls in Haft zu nehmen und nach Afghanistan zu deportieren. Auch von Sicherheitsbeamten des Camps, in welchem er untergebracht worden sei, sei er geschlagen worden. Sein Geld und sein Mobiltelefon habe man ihm abgenommen. Nach einigen Nächten habe er das Camp verlassen und sei weitergereist. Bei einer Rückkehr nach Rumänien drohe ihm weitere Gewalt seitens der Behörden. In Bezug auf seinen Eventualantrag - Rückweisung der Sache zur rechtsgenüglichen Sachverhaltsabklärung und Neubeurteilung an die Vorinstanz - macht er geltend, diese habe ihn zu wenig zu den Vorkommnissen in Rumänien befragt.</w:t>
      </w:r>
    </w:p>
    <w:p>
      <w:r>
        <w:rPr>
          <w:b/>
        </w:rPr>
        <w:t>E. 5.2</w:t>
      </w:r>
    </w:p>
    <w:p>
      <w:r>
        <w:t>Der Beschwerdeführer hat kein konkretes und ernsthaftes Risiko dargetan, die ihn bei einer Rückführung erwartenden Bedingungen in Rumänien seien derart schlecht, dass sie zu einer Verletzung von Art. 4 der EU-Grundrechtecharta, Art. 3 EMRK oder Art. 3 FoK führen könnten oder dass Rumänien ihm dauerhaft die ihm gemäss der Richtlinie des Europäischen Parlaments und des Rates 2013/33/EU vom 26. Juni 2013 zur Festlegung von Normen für die Aufnahme von Personen, die internationalen Schutz beantragen (sog. Aufnahmerichtlinie, ABl. L 180/96 vom 29.6.2013) zustehenden minimalen Lebensbedingungen vorenthalten würde. Bei einer allfälligen vorübergehenden Einschränkung könnte er sich im Übrigen nötigenfalls an die rumänischen Behörden wenden und die ihm zustehenden Aufnahmebedingungen auf dem Rechtsweg einfordern (vgl. Art. 26 Aufnahmerichtlinie). Auch sind keine konkreten Anhaltspunkte ersichtlich, dass Rumänien den Grundsatz des Non-Refoulement missachten und ihn zur Ausreise in ein Land zwingen würde, in dem sein Leib, sein Leben oder seine Freiheit aus einem Grund nach Art. 3 Abs. 1 AsylG gefährdet ist oder in dem er Gefahr laufen würde, zur Ausreise in ein solches Land gezwungen zu werden. Er wurde in Rumänien - wenn auch angeblich gegen seinen Willen - als Asylsuchender registriert, hat jedoch das Land verlassen, bevor sein Asylgesuch bearbeitet werden konnte. Seine Ausreise erfolgte somit freiwillig und die rumänischen Behörden haben nicht versucht, ihn nach Afghanistan oder in ein anderes Land zu bringen. Sollte er der Ansicht sein, von der rumänischen Polizei nicht korrekt behandelt worden zu sein, steht es ihm frei, sich an die dafür zuständigen staatlichen Stellen beziehungsweise an die rumänische Justiz zu wenden. Rumänien ist ein Rechtsstaat und die Behörden sind grundsätzlich gewillt und fähig, staatlichen Schutz zu gewähren. Soweit der Beschwerdeführer schliesslich eine Verletzung des Untersuchungsgrundsatzes geltend macht, ist darauf hinzuweisen, dass dieser seine Grenze an der Mitwirkungspflicht des Beschwerdeführers findet (Art. 8 AsylG, Art. 13 VwVG). Die Vorinstanz hat ihn zu seinem Aufenthalt in Rumänien im Rahmen des Dublin-Gesprächs vom 23. Oktober 2020 befragt. Es wäre ihm freigestanden und im Rahmen seiner Mitwirkungspflicht oblegen, allfällige weitere verfahrensrelevante Ausführungen hierzu zu machen. Er legt jedoch auch auf Beschwerdeebene nicht dar, welche Sachverhaltselemente von der Vorinstanz unberücksichtigt geblieben sein sollen. Eine unvollständige Feststellung des Sachverhaltes liegt nicht vor. Der Eventualantrag auf Rückweisung der Sache zur Neubeurteilung an die Vorinstanz ist deshalb abzuweisen.</w:t>
      </w:r>
    </w:p>
    <w:p>
      <w:r>
        <w:rPr>
          <w:b/>
        </w:rPr>
        <w:t>E. 5.3</w:t>
      </w:r>
    </w:p>
    <w:p>
      <w:r>
        <w:t>Zusammenfassend liegt kein Grund für die Anwendung der Ermessensklausel von Art. 17 Dublin-III-VO oder von Art. 29a Abs. 3 AsylV 1 vor. Rumänien bleibt somit zuständiger Mitgliedstaat gemäss Dublin-III-VO. Die Vorinstanz ist demnach zu Recht gestützt auf Art. 31a Abs. 1 Bst. b AsylG auf das Asylgesuch des Beschwerdeführers nicht eingetreten und hat zu Recht die Überstellung nach Rumänien angeordnet.</w:t>
      </w:r>
    </w:p>
    <w:p>
      <w:r>
        <w:rPr>
          <w:b/>
        </w:rPr>
        <w:t>E. 6</w:t>
      </w:r>
    </w:p>
    <w:p>
      <w:r>
        <w:t>Die Beschwerde ist abzuweisen.</w:t>
      </w:r>
    </w:p>
    <w:p>
      <w:r>
        <w:rPr>
          <w:b/>
        </w:rPr>
        <w:t>E. 6.1</w:t>
      </w:r>
    </w:p>
    <w:p>
      <w:r>
        <w:t>Mit dem vorliegenden Urteil fällt der am 6. November 2020 angeordnete Vollzugsstopp dahin. Das Gesuch um Erteilung der aufschiebenden Wirkung der Beschwerde ist gegenstandslos geworden.</w:t>
      </w:r>
    </w:p>
    <w:p>
      <w:r>
        <w:rPr>
          <w:b/>
        </w:rPr>
        <w:t>E. 6.2</w:t>
      </w:r>
    </w:p>
    <w:p>
      <w:r>
        <w:t>Das Gesuch um Gewährung der unentgeltlichen Prozessführung (Art. 65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