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F-5448/2016 vom 9. Februar 2017</w:t>
      </w:r>
    </w:p>
    <w:p>
      <w:r>
        <w:t>Bundesverwaltungsgericht, 2017-02-09, DE</w:t>
      </w:r>
    </w:p>
    <w:p>
      <w:r>
        <w:rPr>
          <w:b/>
        </w:rPr>
        <w:t xml:space="preserve">Quelle: </w:t>
      </w:r>
      <w:r>
        <w:t>https://mcp.opencaselaw.ch/entscheid/bvger_F-5448_2016</w:t>
      </w:r>
    </w:p>
    <w:p>
      <w:r>
        <w:t>FR: TAF F-5448/2016 du 9 février 2017</w:t>
      </w:r>
    </w:p>
    <w:p>
      <w:r>
        <w:t>IT: TAF F-5448/2016 del 9 febbraio 2017</w:t>
      </w:r>
    </w:p>
    <w:p>
      <w:pPr>
        <w:pStyle w:val="Heading2"/>
      </w:pPr>
      <w:r>
        <w:t>Regeste</w:t>
      </w:r>
    </w:p>
    <w:p>
      <w:r>
        <w:t>Schengen-Visum</w:t>
      </w:r>
    </w:p>
    <w:p>
      <w:pPr>
        <w:pStyle w:val="Heading2"/>
      </w:pPr>
      <w:r>
        <w:t>Erwägungen</w:t>
      </w:r>
    </w:p>
    <w:p>
      <w:r>
        <w:rPr>
          <w:b/>
        </w:rPr>
        <w:t>E. 1.1</w:t>
      </w:r>
    </w:p>
    <w:p>
      <w:r>
        <w:t>Gemäss Art. 31 des VGG beurteilt das Bundesverwaltungsgericht - unter Vorbehalt der in Art. 32 VGG genannten Ausnahmen - Beschwerden gegen Verfügungen nach Art. 5 des VwVG, die von einer in Art. 33 VGG aufgeführten Behörde erlassen wurden. Darunter fallen u.a. Verfügungen des SEM, mit denen die Erteilung einer Einreisebewilligung verweigert wird.</w:t>
      </w:r>
    </w:p>
    <w:p>
      <w:r>
        <w:rPr>
          <w:b/>
        </w:rPr>
        <w:t>E. 1.2</w:t>
      </w:r>
    </w:p>
    <w:p>
      <w:r>
        <w:t>Sofern das VGG nichts anderes bestimmt, richtet sich das Verfahren vor dem Bundesverwaltungsgericht nach dem VwVG (vgl. Art. 37 VGG).</w:t>
      </w:r>
    </w:p>
    <w:p>
      <w:r>
        <w:rPr>
          <w:b/>
        </w:rPr>
        <w:t>E. 1.3</w:t>
      </w:r>
    </w:p>
    <w:p>
      <w:r>
        <w:t>Die Beschwerdeführenden sind als Verfügungsadressaten gemäss Art. 48 Abs. 1 VwVG zur Beschwerde legitimiert. Auf die im Übrigen frist- und formgerecht eingereichte Beschwerde ist einzutreten (vgl. Art. 50 und 52 VwVG).</w:t>
      </w:r>
    </w:p>
    <w:p>
      <w:r>
        <w:rPr>
          <w:b/>
        </w:rPr>
        <w:t>E. 1.4</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Der angefochtenen Verfügung liegt das Gesuch einer indischen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2-5 AuG).</w:t>
      </w:r>
    </w:p>
    <w:p>
      <w:r>
        <w:rPr>
          <w:b/>
        </w:rPr>
        <w:t>E. 3.2</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BGE 135 II 1 E. 1.1, BVGE 2014/1 E. 4.1.1 [erster Teil] m.w.H.).</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Abs. 2 AuG; Art. 2 Abs. 1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Art. 4 VEV).</w:t>
      </w:r>
    </w:p>
    <w:p>
      <w:r>
        <w:rPr>
          <w:b/>
        </w:rPr>
        <w:t>E. 3.4</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3.5</w:t>
      </w:r>
    </w:p>
    <w:p>
      <w:r>
        <w:t>Aufgrund ihrer indischen Staatsangehörigkeit ist die Gesuchstellerin nach Massgabe des Anhangs I der EU-Visa-Verordnung eine Drittstaatsangehörige, die der Visumspflicht unterliegt. Dementsprechend ist zu prüfen, ob die Vorinstanz die Voraussetzungen zur Erteilung eines Schengen-Visums zu Recht verneint hat.</w:t>
      </w:r>
    </w:p>
    <w:p>
      <w:r>
        <w:rPr>
          <w:b/>
        </w:rPr>
        <w:t>E. 4</w:t>
      </w:r>
    </w:p>
    <w:p>
      <w:r>
        <w:t>Die Vorinstanz begründet die Abweisung der Einsprache im Wesentlichen damit, dass die Wiederausreise der Gesuchstellerin nicht gewährleistet sei und sie nicht über genügend ausreichende finanzielle Mittel verfüge. Bei der Beurteilung des Kriteriums der gesicherten Wiederausreise muss ein zukünftiges Verhalten beurteilt werden. Hierzu sind lediglich Prognosen möglich, wobei jedoch sämtliche Umstände des konkreten Einzelfalles zu würdigen sind. Dabei sind einerseits die allgemeine Lage im Herkunftsland und andererseits die individuelle Situation der gesuchstellenden Person in die Beurteilung mit einzubeziehen.</w:t>
      </w:r>
    </w:p>
    <w:p>
      <w:r>
        <w:rPr>
          <w:b/>
        </w:rPr>
        <w:t>E. 4.1</w:t>
      </w:r>
    </w:p>
    <w:p>
      <w:r>
        <w:t>Wie die Beschwerdeführenden in ihrer Rechtmitteleingabe zu Recht ausführen, hat sich Indiens Wirtschaft zuletzt erholt und an Dynamik gewonnen. Im Haushaltsjahr 2015/2016 lag das Wirtschaftswachstum bei 7,6 %. Damit zählt Indien nach wie vor zu den am stärksten expandierenden Volkswirtschaften der Welt. Trotzdem sieht sich das Land bei der Armutsbekämpfung und in der Bildungs- und Infrastrukturentwicklung vor gewaltige Herausforderungen gestellt. Etwa 30% der Bevölkerung lebt unterhalb der Armutsgrenze von USD 1 pro Kopf und Tag; weniger als USD 2 pro Tag zur Verfügung haben sogar 70% der Bevölkerung. Allerdings zeigen sich erhebliche regionale Unterschiede. Ein zunehmendes Einkommensgefälle besteht nicht zuletzt einerseits zwischen der prosperierenden städtischen Mittelschicht und anderseits der überwiegend armen Bevölkerung auf dem Lande. Nur ca. 10% aller Beschäftigten stehen in einem vertraglich geregelten Arbeitsverhältnis. Die übrigen 90% werden dem sog. "informellen Sektor" zugerechnet, die weder gegen Krankheit noch Arbeitsunfälle abgesichert sind noch Anspruch auf soziale Leistungen oder Altersvorsorge haben. Wachstum und Wohlstand verdankt Indien v.a. dem Dienstleistungssektor mit einem Anteil von über 53 % am BIP. Davon profitiert aber bei einem Beschäftigungsanteil von etwa 30 % nur der kleinere Teil der Bevölkerung (Quelle: Deutsches Auswärtiges Amt, www.auswaertiges-amt.de Aussen- und Europapolitik Länderinformationen Indien Wirtschaft, Stand: September 2016, besucht im Januar 2017).</w:t>
      </w:r>
    </w:p>
    <w:p>
      <w:r>
        <w:rPr>
          <w:b/>
        </w:rPr>
        <w:t>E. 4.2</w:t>
      </w:r>
    </w:p>
    <w:p>
      <w:r>
        <w:t>Lediglich zur allgemeinen Information hielt das SEM unter Berufung auf die Asylstatistik per Ende August 2016 in seiner Vernehmlassung vom 13. Oktober 2016 fest, dass sich - entgegen der Annahme der Beschwerdeführenden in ihrer Rechtsmitteleingabe - 50 Personen aus Indien in der Schweiz in einem Asylverfahren befinden, und folglich die Asylzahlen in den letzten Monaten beträchtlich gestiegen seien. Gemäss der Asylstatistik des SEM wurden im Jahr 2015 16 und im Jahr 2016 31 Asylgesuche von indischen Staatsangehörigen eingereicht (vgl. www.sem.admin.ch &gt; Internationales&gt; Herkunftsländerinformationen, besucht im Januar 2017). Folglich hat sich innert Jahresfrist allein die Zahl der Asylgesuche verdoppelt. Berücksichtigt man die Tatsache, dass ein Asylgesuch mehrere Personen umfassen kann, hat die Anzahl von indischen Staatsangehörigen, die sich in der Schweiz in einem Asylverfahren befinden, entgegen den anderslautenden Bemerkungen der Beschwerdeführenden im Verlauf des letzten Jahres merklich zugenommen.</w:t>
      </w:r>
    </w:p>
    <w:p>
      <w:r>
        <w:rPr>
          <w:b/>
        </w:rPr>
        <w:t>E. 4.3</w:t>
      </w:r>
    </w:p>
    <w:p>
      <w:r>
        <w:t>Angesichts der geschilderten Umstände ist nicht zu beanstanden, dass das SEM das Risiko einer nicht fristgerechten Wiederausreise von Besucherinnen und Besuchern aus Indien allgemein als hoch einschätzt, insbesondere, wenn durch die Anwesenheit von Verwandten im Ausland bereits ein Beziehungsnetz besteht.</w:t>
      </w:r>
    </w:p>
    <w:p>
      <w:r>
        <w:rPr>
          <w:b/>
        </w:rPr>
        <w:t>E. 5.1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5.2</w:t>
      </w:r>
    </w:p>
    <w:p>
      <w:r>
        <w:t>Bei der Gesuchstellerin handelt es sich um die heute 56-jährige verwitwete C._______. Zwei ihrer insgesamt drei Söhne leben in Portugal, der dritte (der Beschwerdeführer) in der Schweiz. Obwohl den Akten keine näheren Angaben über die Lebensumstände der beiden in Portugal lebenden Söhne der Beschwerdeführerin zu entnehmen sind, ist davon auszugehen, dass diese dort unter eher harten Bedingungen ein Auskommen als Gast- beziehungsweise Wanderarbeiter finden, und keine Möglichkeit hätten, ihre Mutter bei sich aufzunehmen. Schliesslich leben diese auch getrennt von ihren Ehefrauen und ihren Kindern, welche in Indien gemeinsam mit der Gesuchstellerin in einem ländlichen Vorort von D._______ unter einem Dach leben, wo sie sich dem Haushalt sowie der Kinderbetreuung widme und ihr eigenes Land bewirtschafte.</w:t>
      </w:r>
    </w:p>
    <w:p>
      <w:r>
        <w:rPr>
          <w:b/>
        </w:rPr>
        <w:t>E. 5.3</w:t>
      </w:r>
    </w:p>
    <w:p>
      <w:r>
        <w:t>Die Beschwerdeführenden heben hervor, dass das Alter aber auch die familiären Aufgaben und Bindungen der Gesuchstellerin in Indien deutlich gegen ein Migrationsrisiko sprächen. Ausserdem spreche sie kein Deutsch und sei nicht mit der hiesigen Kultur beziehungsweise den örtlichen Gepflogenheiten vertraut. Diesen Ausführungen ist jedoch die soziale Stellung, die Witwen in Indien einnehmen, entgegen zu halten, welche mit dem Tod ihres Ehemannes ihren Platz in der Familie aber auch in der Gesellschaft verlieren und häufig in erbärmlichen Verhältnissen leben müssen. Bereits im Jahr 2011 veröffentlichte die Zeitung "The Hindu" einige Artikel über deren Misere. In der Folge wurde auch Indiens Oberster Gerichtshof auf die Situation der Witwen in Indien aufmerksam und verpflichtete die Regierung in einer Direktive ausdrücklich, sich um die Witwen zu kümmern. Bis heute sind es jedoch vor allem Nichtregierungsorganisationen, die sich der Witwen annehmen und versuchen, ihnen zu helfen (Quelle: Spiegelonline, www.spiegelonline.de &gt; einestages &gt; witwen- in- Indien- xavier- zimbardo dokumentiert- revolution vom 17. April 2016, besucht im Januar 2017). Vor diesem Hintergrund ist der Anreiz, in der Schweiz zu bleiben, und in die Familie des Sohnes aufgenommen zu werden, sehr gross und kann kaum durch den Aspekt, sich in einer fremde Kultur zurecht finden oder eine Fremdsprache erlernen zu müssen, gedämmt werden. Zudem ist unabhängig vom jeweiligen Kulturkreis zu beobachten, dass Menschen in der zweiten Lebenshälfte eher dazu neigen, bestehende Freundschaften und familiäre Kontakte zu pflegen, als neue ausserhäusliche Kontakte zu knüpfen. Folglich kann auch im vorliegenden Fall davon ausgegangen werden, dass sich die Gesuchstellerin vor allem in der Gesellschaft der Familie ihres Sohnes bewegen würde und sie kaum darauf aus sein dürfte, neue Bekanntschaften oder Freundschaften zu schliessen. Im Übrigen vermag auch der Hinweis auf das Urteil des Bundesverwaltungsgerichts F-5443/2015 vom 11. August 2016 zu keiner anderen Betrachtungsweise zu führen, liegt doch diesem Urteil ein gänzlich anderer Sachverhalt zugrunde.</w:t>
      </w:r>
    </w:p>
    <w:p>
      <w:r>
        <w:rPr>
          <w:b/>
        </w:rPr>
        <w:t>E. 5.4</w:t>
      </w:r>
    </w:p>
    <w:p>
      <w:r>
        <w:t>Vor dem geschilderten Hintergrund ist das Risiko, dass die Gesuchstellerin die Schweiz nach einem Besuchsaufenthalt nicht wieder rechtzeitig verlassen könnte, nicht zu unterschätzen. Daran vermögen auch die gegenteiligen Zusicherungen der Beschwerdeführenden nichts zu ändern, zumal der mittlerweile verstorbene Ehemann der Gesuchstellerin bereits im Verlauf des Interviews anlässlich der ersten Gesuchs um Ausstellung eines Schengen-Visums erklärte, sie würden allenfalls in der Schweiz bleiben, falls es ihnen dort gefallen sollte (vgl. Verfügung der Vorinstanz vom 6. Juli 2012 S.2 letzter Absatz). Abgesehen davon können Gastgeber zwar für bestimmte finanzielle Risiken im Zusammenhang mit dem Besuchsaufenthalt, nicht aber für ein bestimmtes Tun oder Unterlassen ihres Gastes rechtswirksam einstehen (vgl. BVGE 2014/1 E. 6.3.7 m. w. H.). Aus dem gleichen Grund kann auch nicht entscheidend sein, dass die Beschwerdeführenden im Zusammenhang mit dem beabsichtigten Aufenthalt grossen Aufwand betrieben haben.</w:t>
      </w:r>
    </w:p>
    <w:p>
      <w:r>
        <w:rPr>
          <w:b/>
        </w:rPr>
        <w:t>E. 6</w:t>
      </w:r>
    </w:p>
    <w:p>
      <w:r>
        <w:t>Gründe für die Ausstellung eines Visums mit räumlich beschränkter Gültigkeit (vgl. E. 4.4) wurden von den Beschwerdeführenden nicht geltend gemacht und ergeben sich auch sonst nicht aus den Akten.</w:t>
      </w:r>
    </w:p>
    <w:p>
      <w:r>
        <w:rPr>
          <w:b/>
        </w:rPr>
        <w:t>E. 7</w:t>
      </w:r>
    </w:p>
    <w:p>
      <w:r>
        <w:t>Aus den vorstehenden Erwägungen folgt, dass die angefochtene Verfügung im Lichte von Art. 49 VwVG nicht zu beanstanden ist. Die Beschwerde ist daher abzuweisen.</w:t>
      </w:r>
    </w:p>
    <w:p>
      <w:r>
        <w:rPr>
          <w:b/>
        </w:rPr>
        <w:t>E. 8</w:t>
      </w:r>
    </w:p>
    <w:p>
      <w:r>
        <w:t>Entsprechend dem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