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F-5443/2015 vom 11. August 2016</w:t>
      </w:r>
    </w:p>
    <w:p>
      <w:r>
        <w:t>Bundesverwaltungsgericht, 2016-08-11, DE</w:t>
      </w:r>
    </w:p>
    <w:p>
      <w:r>
        <w:rPr>
          <w:b/>
        </w:rPr>
        <w:t xml:space="preserve">Quelle: </w:t>
      </w:r>
      <w:r>
        <w:t>https://mcp.opencaselaw.ch/entscheid/bvger_F-5443_2015</w:t>
      </w:r>
    </w:p>
    <w:p>
      <w:r>
        <w:t>FR: TAF F-5443/2015 du 11 août 2016</w:t>
      </w:r>
    </w:p>
    <w:p>
      <w:r>
        <w:t>IT: TAF F-5443/2015 del 11 agosto 2016</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unter anderem Verfügungen des SEM, die im Einspracheverfahren gegen die Verweigerung eines Schengen-Visums ergehen.</w:t>
      </w:r>
    </w:p>
    <w:p>
      <w:r>
        <w:rPr>
          <w:b/>
        </w:rPr>
        <w:t>E. 1.2</w:t>
      </w:r>
    </w:p>
    <w:p>
      <w:r>
        <w:t>Das Rechtsmittelverfahren richtet sich nach dem VwVG, soweit das VGG nichts anderes bestimmt (Art. 37 VGG).</w:t>
      </w:r>
    </w:p>
    <w:p>
      <w:r>
        <w:rPr>
          <w:b/>
        </w:rPr>
        <w:t>E. 1.3</w:t>
      </w:r>
    </w:p>
    <w:p>
      <w:r>
        <w:t>Der Beschwerdeführer ist als Gastgeber und Einsprecher zur Beschwerde legitimiert (Art. 48 Abs. 1 VwVG). Auf die im Übrigen frist- und formgerecht eingereichte Beschwerde ist einzutreten (Art. 50 und 52 VwVG).</w:t>
      </w:r>
    </w:p>
    <w:p>
      <w:r>
        <w:rPr>
          <w:b/>
        </w:rPr>
        <w:t>E. 1.4</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einer vietnamesischen Staatsangehörigen um Erteilung eines Visums für einen dreimonatigen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Einen Anspruch auf Einreise beziehungsweise Visum vermittelt auch das Schengen-Recht nicht (vgl. BVGE 2014/1 E. 4.1.5; a.M. Philipp Egli / Tobias D. Meyer, in: Caroni / Gächter / Thurnherr [Hrsg.], Stämpflis Handkommentar zum Bundesgesetz über die Ausländerinnen und Ausländer,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4. Mai 2016, AS 2016 1283] i.V.m. Art. 6 Abs. 1 und 2 der Verordnung [EU] Nr. 2016/399 des Europäischen Parlaments und des Rates vom 9. März 2016 über einen Gemeinschaftskodex für das Überschreiten der Grenzen durch Personen [nachfolgend: Schengener Grenzkodex, SGK, ABl. L 77/1 vom 23.03.2016; kodifizierter Text], Art. 4 Abs. 1 VEV).</w:t>
      </w:r>
    </w:p>
    <w:p>
      <w:r>
        <w:rPr>
          <w:b/>
        </w:rPr>
        <w:t>E. 4.3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4.5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5.1</w:t>
      </w:r>
    </w:p>
    <w:p>
      <w:r>
        <w:t>Aufgrund ihrer Staatszugehörigkeit unterliegt die Gesuchstellerin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der Gesuchstellerin als nicht genügend gesichert.</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beziehungsweise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Die in Richtung Marktwirtschaft gehenden Wirtschaftsreformen Vietnams waren in den vergangenen 25 Jahren äusserst erfolgreich. Das Land erlebte einen fulminanten wirtschaftlichen Aufschwung mit Wachstumsraten von zumeist 7 bis 8 Prozent. Im Jahr 2015 verzeichnete Vietnam ein Wirtschaftswachstum von 6,81%, womit sogar die Zielvorgabe von 6,5% übertroffen werden konnte. Die Inflation, die ab 2010 zunehmend problematisch wurde - sie betrug Ende 2011 18,1% - konnte inzwischen erfolgreich eingedämmt werden. Die Inflationsrate lag Ende Dezember 2015 bei unter 2% und erreichte damit einen historischen Tiefstand. Vietnam ist von einem der ärmsten Länder der Welt zu einem "Middle Income Country" aufgestiegen; 2015 betrug das Bruttoinlandsprodukt 2230 USD pro Kopf. Allerdings ist das Einkommen zwischen Stadt und Land sehr ungleich verteilt. Nach wie vor leben 60% der Bevölkerung auf dem Land, wo jedoch nur 20% des Volkseinkommens erwirtschaftet wird (Quelle: Webseite des deutschen Auswärtigen Amtes: www.auswaertiges-amt.de, Aussen- und Europapolitik &gt; Länderinformationen &gt; Vietnam, Wirtschaft, Stand: Februar 2016, abgerufen im August 2016). Vor dem Hintergrund solcher wirtschaftlicher Diskrepanzen ist oft festzustellen, dass (vor allem jüngere, arbeitsfähige) Menschen aus ländlichen, wirtschaftlich schwachen Gebieten in die Städte abwandern.</w:t>
      </w:r>
    </w:p>
    <w:p>
      <w:r>
        <w:rPr>
          <w:b/>
        </w:rPr>
        <w:t>E. 5.4</w:t>
      </w:r>
    </w:p>
    <w:p>
      <w:r>
        <w:t>Dass heute noch migrationswillige Vietnamesen in grosser Anzahl in die Schweiz gelangen würden - wie die Ausführungen in der angefochtenen Verfügung vermuten lassen - kann in dieser Form hingegen nicht als erstellt betrachtet werden. So sind auch die Asyl-Gesuchszahlen in der Schweiz in den vergangenen Jahren stark zurückgegangen. Während im Jahr 1996 129 aus Vietnam stammende Personen in der Schweiz um Asyl ersuchten, waren es 2006 noch 30 und 2015 lediglich 6 Personen (vgl. www.sem.admin.ch Publikationen &amp; Service Statistiken Asylstatistiken Übersichten Asylgesuch nach Nationen [1986 bis 2016]; abgerufen im August 2016). Zudem ist Vietnam in den Herkunftsländerinformationen Asylsuchender der Vorinstanz nicht aufgeführt (vgl. www.sem.admin.ch Internationales Herkunftsländerinformationen; abgerufen im August 2016), was die derzeit geringe Bedeutung als Emigrationsland zusätzlich untermauert (vgl. Urteil des BVGer C-3664/2014 vom 6. Januar 2016 E. 6.3).</w:t>
      </w:r>
    </w:p>
    <w:p>
      <w:r>
        <w:rPr>
          <w:b/>
        </w:rPr>
        <w:t>E. 5.5</w:t>
      </w:r>
    </w:p>
    <w:p>
      <w:r>
        <w:t>Nebst solchen allgemeinen Umständen und Erfahrungen sind bei der Risikoanalyse auch sämtliche Gesichtspunkte des konkreten Einzelfalles zu berücksichtigen. Von Interesse sind dabei insbesondere das familiäre, berufliche und sonstige soziale Umfeld, aber auch die bisherige Lebensgestaltung und die Zukunftsperspektiven im weitesten Sinne einer gesuchstellenden Personen.</w:t>
      </w:r>
    </w:p>
    <w:p>
      <w:r>
        <w:rPr>
          <w:b/>
        </w:rPr>
        <w:t>E. 6.1</w:t>
      </w:r>
    </w:p>
    <w:p>
      <w:r>
        <w:t>Bei der Gesuchstellerin handelt es sich um eine heute 27-jährige, unverheiratete und kinderlose Frau. Aus den Vorakten zu schliessen (insbesondere der im "Household Registration" [SEM act. 5/21 ff.] vermerkten Adresse) lebt sie zusammen mit ihren Eltern und zwei Geschwistern sowie vermutungsweise einem 12-jährigen Neffen in familiärer Hausgemeinschaft in D._______, einer Ortschaft rund 25 km von Ho-Chi-Minh-City entfernt [vgl. dazu nachstehend]). Auch wenn nicht davon auszugehen ist, dass ein dauernder Verbleib der Gesuchstellerin im Familienverband aus familiär-sozialen Gründen zwingend notwendig wäre, lässt die dargelegte Lebens­situation doch zumindest auf eine gewisse Verwurzelung im angestammten persönlichen Umfeld schliessen.</w:t>
      </w:r>
    </w:p>
    <w:p>
      <w:r>
        <w:rPr>
          <w:b/>
        </w:rPr>
        <w:t>E. 6.2</w:t>
      </w:r>
    </w:p>
    <w:p>
      <w:r>
        <w:t>In beruflicher Hinsicht ist unbestritten, dass die Gesuchstellerin im Zeitpunkt des Visumantrages und während des anschliessenden Gesuchsverfahrens in ihrer Heimat keiner Erwerbstätigkeit nachging. Gemäss Darstellung des Beschwerdeführers habe sie nach Aufgabe einer letzten Anstellung als Empfangsdame (SEM act. 5/77; 7/89) vorerst darauf verzichtet, eine neue Stelle zu suchen; dies weil die Absicht bestanden habe, im Sommer 2015 drei Monate in der Schweiz zu verbringen. Nach dem ablehnenden Visumsentscheid der Schweizer Vertretung im Mai 2015 habe sie sich jedoch umgehend um eine neue Anstellung bemüht und seit Juli 2015 arbeite sie in einem Reisebüro in Ho-Chi-Minh-City, wo sie für die Buchung und Reservation von Reisen und Unterkünften zuständig sei. Die dazu eingereichten Kopien eines Arbeitsvertrags samt Übersetzung ins Englische belegen diese Umstände in genügender Weise. Das vertraglich festgelegte Einkommen scheint in etwa durchschnittliche Werte zu erreichen. Bestätigt wird vom Arbeitgeber auch, dass er von der Absicht einer dreimonatigen Landesabwesenheit wisse und diese billige (Bestätigung vom 21. Oktober 2015; Beilage zur Eingabe des Beschwerdeführers vom 27. Oktober 2015). Der Umstand, dass das Arbeitsverhältnis auf ein Jahr (Oktober 2015 bis Ende September 2016) befristet abgeschlossen wurde, entspricht nach Darstellung des Beschwerdeführers einer ortsüblichen Usanz. Ein Indiz für die Seriosität der vorgelegten Unterlagen ist auch im Umstand zu sehen, dass der Arbeitgeber die entsprechenden Unterlagen erst nach Ablauf einer Probezeit ausstellte (Eingabe des Beschwerdeführers an das Bundesverwaltungsgericht vom 26. Oktober 2015). Kommt hinzu, dass die Gesuchstellerin in der Region von Ho-Chi-Minh-City (das frühere Saigon), der grössten Stadt und des wirtschaftlichen Zentrums Vietnams lebt und arbeitet. Sie dürfte dadurch gerade in beruflicher und wirtschaftlicher Hinsicht vergleichsweise gute Entwicklungsmöglichkeiten haben. Bezeichnenderweise sind denn auch gemäss den Feststellungen der Schweizer Vertretung die übrigen Familienmitglieder - mit Ausnahme einer Schwester, vermutungsweise die Mutter des 12-jährigen Neffen - allesamt erwerbstätig (SEM act. 5/77). Es sind demnach auch in wirtschaftlicher Hinsicht keine Umstände zu erkennen, aus denen unmittelbar auf vorhandene Emigrationsabsichten geschlossen werden könnte.</w:t>
      </w:r>
    </w:p>
    <w:p>
      <w:r>
        <w:rPr>
          <w:b/>
        </w:rPr>
        <w:t>E. 6.3</w:t>
      </w:r>
    </w:p>
    <w:p>
      <w:r>
        <w:t>Das Anliegen des Beschwerdeführers und seiner Ehefrau an persönlichen Kontakten zu den Familienangehörigen in Vietnam liegt auf der Hand. Nachvollziehbar ist auch, dass solche Besuche aufgrund der familiären und beruflichen Situation des Beschwerdeführers nicht einseitig nur in Vietnam stattfinden sollen und können. Entsprechend weilten im Jahr 2014 bereits die Schwiegermutter des Beschwerdeführers und eine Tante, beide vietnamesische Staatsangehörige, für jeweils drei Monate zu Besuch in der Schweiz. Die Gesuchstellerin dürfte sich durchaus bewusst sein, dass Unkorrektheiten im Zusammenhang mit dem von ihr beabsichtigten Besuchsaufenthalt unweigerlich Auswirkungen auf die Behandlung künftiger Gesuche anderer Familienmitglieder haben könnten. Von ihren guten Absichten scheint auch der Beschwerdeführer überzeugt, wenn er sich zur Leistung einer (gesetzlich in dieser Form zwar nicht vorgesehenen) hohen Kaution bereit erklärt.</w:t>
      </w:r>
    </w:p>
    <w:p>
      <w:r>
        <w:rPr>
          <w:b/>
        </w:rPr>
        <w:t>E. 6.4</w:t>
      </w:r>
    </w:p>
    <w:p>
      <w:r>
        <w:t>Die aufgezeigten Verhältnisse lassen bei der Gesuchstellerin auf eine genügende Gewähr für regelkonformes Verhalten schliessen. Auch wenn das Risiko für eine Missachtung ausländerrechtlicher Normen nie gänzlich ausgeschlossen werden kann, erscheint es vorliegend doch als gering. Es ist mit anderen Worten nicht davon auszugehen, es bestünden Hinderungsgründe dieser Art gemäss Art. 6 SGK beziehungsweise Art. 5 AuG für die Erteilung des beantragten Visums.</w:t>
      </w:r>
    </w:p>
    <w:p>
      <w:r>
        <w:rPr>
          <w:b/>
        </w:rPr>
        <w:t>E. 7</w:t>
      </w:r>
    </w:p>
    <w:p>
      <w:r>
        <w:t>Indem die Vorinstanz den entscheidsrelevanten Sachverhalt im Ergebnis anders gewichtete, hat sie Bundesrecht verletzt (Art. 49 Bst. a VwVG). Die Beschwerde ist demnach gutzuheissen, die angefochtene Verfügung ist aufzuheben und die Sache zur neuerlichen Beurteilung an die Vorinstanz zurückzuweisen. Dabei bleibt von der Vorinstanz zu prüfen, ob die übrigen Einreisevoraussetzungen (vgl. E. 4) erfüllt sind.</w:t>
      </w:r>
    </w:p>
    <w:p>
      <w:r>
        <w:rPr>
          <w:b/>
        </w:rPr>
        <w:t>E. 8</w:t>
      </w:r>
    </w:p>
    <w:p>
      <w:r>
        <w:t>Entsprechend dem Ausgang des Verfahrens sind weder dem Beschwerdeführer noch der Vorinstanz Kosten aufzuerlegen (Art. 63 Abs. 1 und 2 VwVG) und der geleistete Kostenvorschuss ist zurückzuerstatten. Eine Parteientschädigung ist nicht zuzusprechen, da dem nicht anwaltlich vertretenen Beschwerdeführer zur wirksamen Verfolgung seiner Interessen im Beschwerdeverfahren vermutungsweise keine notwendigen und verhältnismässig hohen Kosten erwachsen sind (Art. 64 Abs. 1 VwVG i.V.m.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