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F-543/2017 vom 15. September 2017</w:t>
      </w:r>
    </w:p>
    <w:p>
      <w:r>
        <w:t>Bundesverwaltungsgericht, 2017-09-15, FR</w:t>
      </w:r>
    </w:p>
    <w:p>
      <w:r>
        <w:rPr>
          <w:b/>
        </w:rPr>
        <w:t xml:space="preserve">Quelle: </w:t>
      </w:r>
      <w:r>
        <w:t>https://mcp.opencaselaw.ch/entscheid/bvger_F-543_2017</w:t>
      </w:r>
    </w:p>
    <w:p>
      <w:r>
        <w:t>FR: TAF F-543/2017 du 15 septembre 2017</w:t>
      </w:r>
    </w:p>
    <w:p>
      <w:r>
        <w:t>IT: TAF F-543/2017 del 15 settembre 2017</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pour formation prononcées par le SEM - lequel constitue une unité de l'administration fédérale telle que définie à l'art. 33 let. d LTAF - sont susceptibles de recours par-devant le Tribunal, qui statue définitivement (art. 1 al. 2 LTAF en relation avec l'art. 83 let. c ch. 1 et 2 LTF; voir également sur cette question et en rapport avec la disposition de l'art. 27 LEtr applicable à la présente cause, l'arrêt du Tribunal fédéral 2C_802/2010 du 22 octobre 2010 consid. 4 et la référence citée).</w:t>
      </w:r>
    </w:p>
    <w:p>
      <w:r>
        <w:rPr>
          <w:b/>
        </w:rPr>
        <w:t>E. 1.3</w:t>
      </w:r>
    </w:p>
    <w:p>
      <w:r>
        <w:t>A moins que la LTAF n'en dispose autrement, la procédure devant le Tribunal est régie par la PA (art. 37 LTAF).</w:t>
      </w:r>
    </w:p>
    <w:p>
      <w:r>
        <w:rPr>
          <w:b/>
        </w:rPr>
        <w:t>E. 1.4</w:t>
      </w:r>
    </w:p>
    <w:p>
      <w:r>
        <w:t>A._______ a qualité pour recourir au sens de l'art.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Aussi peut-elle admettre ou rejeter le pourvoi pour d'autres motifs que ceux invoqués. Dans son arrêt, elle prend en considération l'état de fait régnant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SPOP-VD a soumis sa décision à l'approbation du SEM en conformité avec la législation et la jurisprudence (à ce sujet, cf. ATF 141 II 169 consid. 4.3.1, 4.3.2 et 6.1 et l'arrêt du Tribunal administratif fédéral C-1621/2013 du 21 mai 2015 consid. 3.2 à 3.4 et la jurisprudence citée). Il s'ensuit que ni le Tribunal, ni le SEM ne sont liés par la proposition du SPOP-VD du 19 octobre 2016 et peuvent parfaitement s'écarter de l'appréciation faite par ces autorités.</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5.3</w:t>
      </w:r>
    </w:p>
    <w:p>
      <w:r>
        <w:t>L'art. 23 al. 2 OASA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lequel fait référence à un éventuel comportement abusif).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6.1</w:t>
      </w:r>
    </w:p>
    <w:p>
      <w:r>
        <w:t>S'agissant des conditions matérielles énoncées à l'art. 27 al. 1 let. a à d LEtr, l'examen du dossier conduit le Tribunal de céans à constater que celles-ci sont de prime abord remplies.</w:t>
      </w:r>
    </w:p>
    <w:p>
      <w:r>
        <w:rPr>
          <w:b/>
        </w:rPr>
        <w:t>E. 6.2</w:t>
      </w:r>
    </w:p>
    <w:p>
      <w:r>
        <w:t>Toutefois, indépendamment de ce qui précède, Il importe de rappeler que l'art. 27 LEtr est une disposition rédigée en la forme potestative (ou "Kann-Vorschrift") et qu'en conséquence, même si B._______ et C._______ devaient remplir toutes les conditions prévues par la loi, ils ne disposeraient d'aucun droit à la délivrance d'une autorisation de séjour, à moins qu'ils ne puissent se prévaloir d'une disposition particulière du droit fédéral ou d'un traité leur conférant un tel droit, ce qui n'est manifestement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Spescha / Kerkland / Bolzli, Handbuch zum Migrationsrecht, 2e éd., 2015, p. 89 ss).</w:t>
      </w:r>
    </w:p>
    <w:p>
      <w:r>
        <w:rPr>
          <w:b/>
        </w:rPr>
        <w:t>E. 6.3</w:t>
      </w:r>
    </w:p>
    <w:p>
      <w:r>
        <w:t>Dans ce cadre-là, procédant à une pondération globale de tous les éléments en présence, le Tribunal retiendra ce qui suit.</w:t>
      </w:r>
    </w:p>
    <w:p>
      <w:r>
        <w:rPr>
          <w:b/>
        </w:rPr>
        <w:t>E. 6.3.1</w:t>
      </w:r>
    </w:p>
    <w:p>
      <w:r>
        <w:t>Il est des plus compréhensibles que A._______ souhaite offrir à ses enfants une éducation de qualité, dans un environnement stable et ce, d'autant plus qu'il se prévaut d'une éducation similaire. Il n'est également pas contesté qu'il dispose de moyens financiers suffisants pour parvenir à cet objectif. Cela étant, comme l'a relevé le SEM dans la décision du 20 décembre 2016, il n'est pas établi que cet objectif devrait nécessairement être réalisé en Suisse. Ainsi, le Tribunal relève que si le choix de l'école D._______ permettrait aux enfants du recourant de poursuivre leur scolarité dans un environnement francophone, il apparaît cependant qu'il existe en Afrique du Sud des institutions privées, à même d'offrir des prestations similaires à celles de l'école choisie par l'intéressé en Suisse, à savoir qui préparent leurs élèves au Brevet des Collèges, respectivement au Baccalauréat international. Par ailleurs, s'il est vrai que A._______ a explicitement écarté la possibilité d'une scolarisation de ses enfants en Afrique du Sud, au motif que le changement d'un milieu francophone à un milieu anglophone serait trop important pour eux, ce n'est pas faire preuve d'arbitraire que d'observer que la solution envisagée exposerait également les enfants de l'intéressé à certains bouleversements, tant en raison de l'éloignement géographique que de l'apprentissage de deux langues étrangères, soit l'allemand et l'anglais (pour un total de 6 heures par semaine, selon le programme pour l'année 2017-2018 annexé au courrier du 2 mars 2017).</w:t>
      </w:r>
    </w:p>
    <w:p>
      <w:r>
        <w:rPr>
          <w:b/>
        </w:rPr>
        <w:t>E. 6.3.2</w:t>
      </w:r>
    </w:p>
    <w:p>
      <w:r>
        <w:t>En application de l'art. 96 LEtr, les autorités compétentes tiennent compte, en exerçant leur pouvoir d'appréciation, des intérêts publics, de la situation personnelle de l'étranger, ainsi que de son degré d'intégration. Or, dans la présente constellation, si l'intérêt public à ce que les enfants du recourant ne débutent pas leurs études en Suisse n'apparaît pas prépondérant, il est toutefois permis de s'interroger - au vu des développements ci-avant - sur la nécessité de leur permettre de les entreprendre compte tenu de leur jeune âge, de l'absence de tout réseau familial en Suisse ainsi que du fait qu'arrivés au terme de leur cursus, ils pourront se prévaloir uniquement d'un certificat de fin de scolarité obligatoire. Aussi, et dans ces circonstances, le choix du recourant d'inscrire ses enfants dans une école en Suisse pour y poursuivre leur scolarité obligatoire apparaît en l'état comme prématuré.</w:t>
      </w:r>
    </w:p>
    <w:p>
      <w:r>
        <w:rPr>
          <w:b/>
        </w:rPr>
        <w:t>E. 6.4</w:t>
      </w:r>
    </w:p>
    <w:p>
      <w:r>
        <w:t>Par conséquent, même si le Tribunal comprend les aspirations légitimes de A._______ à vouloir proposer à ses enfants une prise en charge scolaire de qualité, il se doit néanmoins de constater que, dans le cas particulier, il n'apparaît pas que des raisons spécifiques et suffisantes soient de nature à justifier que cette prise en charge se fasse nécessairement en Suisse, justifiant ainsi l'approbation des autorisations de séjour sollicitées, et ce, au regard aussi de la politique d'admission plutôt restrictive que les autorités helvétiques ont été amenées à adopter en la matière.</w:t>
      </w:r>
    </w:p>
    <w:p>
      <w:r>
        <w:rPr>
          <w:b/>
        </w:rPr>
        <w:t>E. 6.5</w:t>
      </w:r>
    </w:p>
    <w:p>
      <w:r>
        <w:t>Au vu des éléments qui précèdent et compte tenu du large pouvoir d'appréciation dont dispose l'autorité intimée en la matière (cf. consid. 6.2 et 6.3.2 supra), le Tribunal ne saurait ainsi reprocher à l'autorité intimée d'avoir jugé inopportun d'autoriser les enfants du recourant à entreprendre une formation en Suisse et considère que c'est de manière justifiée que l'autorité inférieure a refusé de donner son aval à leur entrée en Suisse ainsi qu'à l'octroi d'une autorisation de séjour pour formation en leur faveur.</w:t>
      </w:r>
    </w:p>
    <w:p>
      <w:r>
        <w:rPr>
          <w:b/>
        </w:rPr>
        <w:t>E. 7</w:t>
      </w:r>
    </w:p>
    <w:p>
      <w:r>
        <w:t>Il ressort de ce qui précède que, par sa décision du 20 décembre 2016, le SEM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