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F-5435/2025 vom 24. Juli 2025</w:t>
      </w:r>
    </w:p>
    <w:p>
      <w:r>
        <w:t>Bundesverwaltungsgericht, 2025-07-24, FR</w:t>
      </w:r>
    </w:p>
    <w:p>
      <w:r>
        <w:rPr>
          <w:b/>
        </w:rPr>
        <w:t xml:space="preserve">Quelle: </w:t>
      </w:r>
      <w:r>
        <w:t>https://mcp.opencaselaw.ch/entscheid/bvger_F-5435_2025</w:t>
      </w:r>
    </w:p>
    <w:p>
      <w:r>
        <w:t>FR: TAF F-5435/2025 du 24 juillet 2025</w:t>
      </w:r>
    </w:p>
    <w:p>
      <w:r>
        <w:t>IT: TAF F-5435/2025 del 24 luglio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w:t>
      </w:r>
    </w:p>
    <w:p>
      <w:r>
        <w:t>A titre liminaire, il convient d'examiner les griefs formels soulevés par le recourant. En effet, celui-ci reproche à l'autorité intimée d'avoir manqué à son devoir d'instruction en lien avec son état de santé et avec les tortures subies dans son pays d'origine. Ces manquements auraient conduit à une constatation incomplète des faits pertinents.</w:t>
      </w:r>
    </w:p>
    <w:p>
      <w:r>
        <w:rPr>
          <w:b/>
        </w:rPr>
        <w:t>E. 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2012/21 consid. 5.1 ; 2008/24 consid. 7.2).</w:t>
      </w:r>
    </w:p>
    <w:p>
      <w:r>
        <w:rPr>
          <w:b/>
        </w:rPr>
        <w:t>E. 2.2</w:t>
      </w:r>
    </w:p>
    <w:p>
      <w:r>
        <w:t>En l'espèce, le Tribunal constate que, au moment où elle a statué, l'autorité inférieure disposait d'un rapport médical posant le diagnostic de syndrome de stress post-traumatique et faisant état de douleurs physiques importantes à la jambe gauche et à l'épaule droite chez le recourant, un examen plus poussé devant être effectué ultérieurement pour déterminer la cause des douleurs. Les journaux des soins produits par l'intéressé à l'appui de son recours précisent simplement que le traitement mis en place est suivi et devra être réévalué lors d'un prochain rendez-vous. Cela étant, il n'apparaît pas que l'autorité inférieure ait méconnu ou renoncé à prendre en compte un aspect de la situation médicale du recourant. Quand bien même tel aurait été le cas, la jurisprudence restrictive en la matière (cf. infra consid. 5.1) et les éléments présents au dossier auraient permis au SEM de procéder à une appréciation anticipée des preuves et de statuer en l'état du dossier, sans attendre les résultats d'un nouveau rendez-vous médical.</w:t>
      </w:r>
    </w:p>
    <w:p>
      <w:r>
        <w:rPr>
          <w:b/>
        </w:rPr>
        <w:t>E. 2.3</w:t>
      </w:r>
    </w:p>
    <w:p>
      <w:r>
        <w:t>En ce qui concerne l'absence d'instruction des supposées tortures subies par le recourant dans son pays d'origine, de tels éléments relèvent de la procédure nationale et non de la procédure Dublin, de sorte que c'est à raison que l'autorité inférieure ne les a pas instruits plus avant (cf. art. 3 RD III).</w:t>
      </w:r>
    </w:p>
    <w:p>
      <w:r>
        <w:rPr>
          <w:b/>
        </w:rPr>
        <w:t>E. 2.4</w:t>
      </w:r>
    </w:p>
    <w:p>
      <w:r>
        <w:t>Par conséquent, les griefs formels du recourant doivent être rejetés.</w:t>
      </w:r>
    </w:p>
    <w:p>
      <w:r>
        <w:rPr>
          <w:b/>
        </w:rPr>
        <w:t>E. 3.1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w:t>
      </w:r>
    </w:p>
    <w:p>
      <w:r>
        <w:rPr>
          <w:b/>
        </w:rPr>
        <w:t>E. 3.3</w:t>
      </w:r>
    </w:p>
    <w:p>
      <w:r>
        <w:t>Dans une procédure de reprise en charge telle qu'en l'espèce, il n'y a en principe aucun nouvel examen de la compétence, sous réserve des situations prévues à l'art. 7 par. 3 du règlement Dublin III (en lien avec les critères de détermination visés aux art. 8, 10 et 16 RD III) et à l'art. 20 par. 5 du règlement Dublin III (cf. ATAF 2019 VI/7 consid. 6.4.1.3 ; 2017 VI/5 consid. 6.2, 6.3, 8.2.1 et 8.3).</w:t>
      </w:r>
    </w:p>
    <w:p>
      <w:r>
        <w:rPr>
          <w:b/>
        </w:rPr>
        <w:t>E. 3.4</w:t>
      </w:r>
    </w:p>
    <w:p>
      <w:r>
        <w:t>En l'occurrence, il ressort des investigations entreprises par le SEM dans la base de données « Eurodac » que l'intéressé a déposé une première demande d'asile en Lettonie en date du 4 septembre 2024. Le 27 juin 2025, soit dans le délai prescrit par l'art. 23 par. 2 al. 1 RD III, le SEM a soumis aux autorités lettones une demande de reprise en charge du requérant fondée sur l'art. 18 par. 1 let. b RD III. En date du 30 juin 2025, soit dans le délai fixé à l'art. 25 par. 1 RD IIII, les autorités susmentionnées ont expressément accepté de reprendre en charge l'intéressé, sur base de l'art. 18 par. 1 let. c RD III.</w:t>
      </w:r>
    </w:p>
    <w:p>
      <w:r>
        <w:rPr>
          <w:b/>
        </w:rPr>
        <w:t>E. 3.5</w:t>
      </w:r>
    </w:p>
    <w:p>
      <w:r>
        <w:t>Dans ces conditions, et dans la mesure où aucun élément au dossier n'indique que le recourant aurait quitté le territoire des Etats membres pendant trois mois consécutifs ou aurait obtenu un titre de séjour de la part d'un autre Etat membre dans l'intervalle (cf. art. 20 par. 5 al. 2 RD III), la compétence de la Lettonie pour examiner sa demande de protection internationale doit être reconnue. A ce propos, le fait que la base réglementaire indiquée sur la demande de reprise en charge soumise par le SEM diffère de celle mentionnée par les autorités lettones dans leur réponse ne saurait remettre en cause ce raisonnement. Dans ces deux hypothèses en effet, les procédures applicables - et en particulier les délais auxquels elles sont soumises - sont identiques (cf. art. 23 ss RD III ; cf. ATAF 2019 VI/7 consid. 6.2).</w:t>
      </w:r>
    </w:p>
    <w:p>
      <w:r>
        <w:rPr>
          <w:b/>
        </w:rPr>
        <w:t>E. 4.1</w:t>
      </w:r>
    </w:p>
    <w:p>
      <w:r>
        <w:t>Au vu de l'art. 3 par. 2 du règlement Dublin III, il convient à présent d'analyser s'il y a des raisons de considérer qu'il existe, en Lettonie,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4.2</w:t>
      </w:r>
    </w:p>
    <w:p>
      <w:r>
        <w:t>Conformément à une jurisprudence constante et régulièrement actualisée, il n'y a aucune raison de penser qu'il existe en Lettonie des défaillances systémiques au sens de l'art. 3 par. 2 RD III (cf. arrêts du TAF F-1466/2025 du 6 mars 2025 consid. 3 et les réf. citées). Partant, le respect par la Lettonie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4.3</w:t>
      </w:r>
    </w:p>
    <w:p>
      <w:r>
        <w:t>Si cette présomption peut être renversée par des indices sérieux que les autorités ne respecteraient pas le droit international (cf. ATAF 2017 VI/7 consid. 6.1 et 2010/45 consid. 7.4 et 7.5 ; arrêt du TAF F-1068/2025 du 21 février 2025 consid. 4.2), force est de constater que les affirmations du recourant quant aux mauvais traitements subis en Lettonie n'ont pas dépassé le stade de l'allégation et que le rapport de l'Organisation suisse d'aide aux réfugiés publié à l'appui du recours se contente de formuler des observations générales.</w:t>
      </w:r>
    </w:p>
    <w:p>
      <w:r>
        <w:rPr>
          <w:b/>
        </w:rPr>
        <w:t>E. 4.4</w:t>
      </w:r>
    </w:p>
    <w:p>
      <w:r>
        <w:t>Il sied enfin de rappeler que le règlement Dublin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[GC], § 59 et § 62 ; ATAF 2017 VI/5 consid. 8.2.1). Dans ces conditions, l'application de l'art. 3 par. 2 2ème phrase du règlement Dublin III ne se justifie pas en l'espèce.</w:t>
      </w:r>
    </w:p>
    <w:p>
      <w:r>
        <w:rPr>
          <w:b/>
        </w:rPr>
        <w:t>E. 5</w:t>
      </w:r>
    </w:p>
    <w:p>
      <w:r>
        <w:t>Le recourant fait également valoir que son état de santé s'oppose à un transfert vers la Lettonie sous l'angle de l'art. 3 CEDH.</w:t>
      </w:r>
    </w:p>
    <w:p>
      <w:r>
        <w:rPr>
          <w:b/>
        </w:rPr>
        <w:t>E. 5.1</w:t>
      </w:r>
    </w:p>
    <w:p>
      <w:r>
        <w:t>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[GC], du 13 décembre 2016, requête n°41738/10, confirmé dans l'arrêt de la Cour EDH Savran c. Danemark [GC], du 7 décembre 2021, req. 57467/15 ; ATAF 2017 VI/7 consid. 6.2 et les réf. cit.).</w:t>
      </w:r>
    </w:p>
    <w:p>
      <w:r>
        <w:rPr>
          <w:b/>
        </w:rPr>
        <w:t>E. 5.2</w:t>
      </w:r>
    </w:p>
    <w:p>
      <w:r>
        <w:t>En l'espèce, le recourant est atteint d'un syndrome de stress post-traumatique et souffre de douleurs à la jambe gauche et à l'épaule droite. Compte tenu de ce tableau clinique, rien n'incite à penser qu'en cas de transfert, il risquerait d'être exposé à un déclin grave, rapide et irréversible de son état de santé. Il n'est pas atteint d'une maladie d'une gravité ou d'une spécificité telle qu'elle ne pourrait pas être traitée dans cet Etat, qui dispose de structures médicales équivalentes à la Suisse (cf. arrêt du TAF F-3644/2025 du 3 juin 2025 consid. 2.3 in fine), étant encore précisé qu'il est actuellement sous traitement, à tout le moins s'agissant de son état psychique. Il incombera cas échéant au recourant, une fois son transfert en Lettonie effectué, de se prévaloir des droits octroyés par les différentes directives auxquelles cet Etat est partie, notamment la directive n° 2013/33/UE du Parlement européen et du Conseil du 26 juin 2013 établissant des normes pour l'accueil des personnes demandant la protection internationale (ci-après : directive Accueil), dont l'art. 19 al. 1 dispose que les États membres font en sorte que les demandeurs reçoivent les soins médicaux nécessaires qui comportent, au minimum, les soins urgents et le traitement essentiel des maladies et des troubles mentaux graves.</w:t>
      </w:r>
    </w:p>
    <w:p>
      <w:r>
        <w:rPr>
          <w:b/>
        </w:rPr>
        <w:t>E. 5.3</w:t>
      </w:r>
    </w:p>
    <w:p>
      <w:r>
        <w:t>Par conséquent, il y a lieu de retenir que les problèmes de santé, sous contrôle médical, dont le recourant est atteint - et dont le Tribunal ne remet pas en cause l'étendue - ne sauraient faire obstacle à l'exécution de son transfert vers la Lettonie.</w:t>
      </w:r>
    </w:p>
    <w:p>
      <w:r>
        <w:rPr>
          <w:b/>
        </w:rPr>
        <w:t>E. 5.4</w:t>
      </w:r>
    </w:p>
    <w:p>
      <w:r>
        <w:t>Quoi qu'il en soit, si après son retour dans ce pays, l'intéressé devait être contraint par les circonstances à mener une existence non conforme à la dignité humaine, ou si la Lettonie devait violer ses obligations d'assistance, ou de toute autre manière porter atteinte à ses droits fondamentaux, il appartiendrait au requérant, le cas échéant, de faire valoir ses droits directement auprès des autorités compétentes, en usant des voies de droit idoines (cf. art. 26 directive Accueil).</w:t>
      </w:r>
    </w:p>
    <w:p>
      <w:r>
        <w:rPr>
          <w:b/>
        </w:rPr>
        <w:t>E. 6</w:t>
      </w:r>
    </w:p>
    <w:p>
      <w:r>
        <w:t>S'agissant enfin du caractère de potentielle victime de la traite des êtres humains que l'autorité inférieure a reconnu au recourant, le Tribunal rappelle que la Lettonie est partie à la CTEH et se doit dès lors d'assurer aux victimes une assistance adéquate, tant juridique que médicale (cf. art. 12 et 15 de la CTEH). De plus, dans sa requête de reprise en charge, le SEM a dûment informé les autorités lettones du statut du recourant. En acceptant de le reprendre en charge, celles-ci se sont dès lors engagées à lui procurer l'encadrement nécessaire. Au surplus, aucune procédure n'a été lancée sur le sol helvétique suite à la découverte de ses faits, ceux-ci n'ayant aucun lien de rattachement avec la Suisse. La présence en Suisse de l'intéressé n'a dès lors pas à y être assurée.</w:t>
      </w:r>
    </w:p>
    <w:p>
      <w:r>
        <w:rPr>
          <w:b/>
        </w:rPr>
        <w:t>E. 7</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(cf. ATAF 2022 I/6 consid. 4.3.3.1, 2015/9 consid. 8).</w:t>
      </w:r>
    </w:p>
    <w:p>
      <w:r>
        <w:rPr>
          <w:b/>
        </w:rPr>
        <w:t>E. 8.1</w:t>
      </w:r>
    </w:p>
    <w:p>
      <w:r>
        <w:t>Au regard de l'ensemble des éléments qui précèdent, c'est à bon droit que le SEM n'est pas entré en matière sur la demande d'asile de l'intéressé, en application de l'art. 31a al. 1 let. b LAsi, et qu'il a prononcé son transfert vers la Lettonie conformément à l'art. 44 1ère phrase LAsi, étant précisé qu'aucune exception à la règle générale du renvoi n'est réalisée (cf. art. 32 OA 1). Le recours est par conséquent rejeté.</w:t>
      </w:r>
    </w:p>
    <w:p>
      <w:r>
        <w:rPr>
          <w:b/>
        </w:rPr>
        <w:t>E. 8.2</w:t>
      </w:r>
    </w:p>
    <w:p>
      <w:r>
        <w:t>S'avérant manifestement infondé, il est rejeté dans une procédure à juge unique avec l'approbation d'un second juge (art. 111 let. e LAsi). Il est dès lors renoncé à un échange d'écritures et le présent arrêt n'est motivé que sommairement (art. 111a al. 1 et 2 LAsi).</w:t>
      </w:r>
    </w:p>
    <w:p>
      <w:r>
        <w:rPr>
          <w:b/>
        </w:rPr>
        <w:t>E. 8.3</w:t>
      </w:r>
    </w:p>
    <w:p>
      <w:r>
        <w:t>Dans la mesure où il a été immédiatement statué sur le fond, les requêtes d'octroi de l'effet suspensif et d'exemption du paiement d'une avance de frais sont sans objet. Le litige prenant fin, les mesures superprovisionnelles prononcées le 23 juillet 2025 deviennent caduques.</w:t>
      </w:r>
    </w:p>
    <w:p>
      <w:r>
        <w:rPr>
          <w:b/>
        </w:rPr>
        <w:t>E. 9</w:t>
      </w:r>
    </w:p>
    <w:p>
      <w:r>
        <w:t>Les conclusions du recours étant d'emblée vouées à l'échec, la requête d'assistance judiciaire partielle est rejetée (cf. art. 65 al. 1 PA).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