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F-5431/2024 vom 10. September 2024</w:t>
      </w:r>
    </w:p>
    <w:p>
      <w:r>
        <w:t>Bundesverwaltungsgericht, 2024-09-10, DE</w:t>
      </w:r>
    </w:p>
    <w:p>
      <w:r>
        <w:rPr>
          <w:b/>
        </w:rPr>
        <w:t xml:space="preserve">Quelle: </w:t>
      </w:r>
      <w:r>
        <w:t>https://mcp.opencaselaw.ch/entscheid/bvger_F-5431_2024</w:t>
      </w:r>
    </w:p>
    <w:p>
      <w:r>
        <w:t>FR: TAF F-5431/2024 du 10 septembre 2024</w:t>
      </w:r>
    </w:p>
    <w:p>
      <w:r>
        <w:t>IT: TAF F-5431/2024 del 10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 Das Beschwerdeverfahren betreffend Datenbereinigung im ZEMIS (F-5456/2024) wird neben dem Beschwerdeverfahren gegen den Nichteintretensentscheid (F-5431/2024) separat geführt (vgl. Urteile des BVGer F-5122/2024 vom 28. August 2024 E. 2; E-992/2024 vom 1. März 2024 E. 2.2; E-507/2024 vom 29. Januar 2024 E. 2.2).</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w:t>
      </w:r>
    </w:p>
    <w:p>
      <w:r>
        <w:rPr>
          <w:b/>
        </w:rPr>
        <w:t>E. 3.4</w:t>
      </w:r>
    </w:p>
    <w:p>
      <w:r>
        <w:t>Im Asylverfahren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w:t>
      </w:r>
    </w:p>
    <w:p>
      <w:r>
        <w:rPr>
          <w:b/>
        </w:rPr>
        <w:t>E. 4</w:t>
      </w:r>
    </w:p>
    <w:p>
      <w:r>
        <w:t>Strittig und zu prüfen ist zunächst, ob der Beschwerdeführer die behauptete Minderjährigkeit zumindest glaubhaft machen konnte.</w:t>
      </w:r>
    </w:p>
    <w:p>
      <w:r>
        <w:rPr>
          <w:b/>
        </w:rPr>
        <w:t>E. 4.1</w:t>
      </w:r>
    </w:p>
    <w:p>
      <w:r>
        <w:t>Das Resultat eines Altersgutachtens stellt nur ein Element bei der Beurteilung der Glaubhaftigkeit einer geltend gemachten Minderjährigkeit dar (vgl. BVGE 2019 I/6 E. 6.1 ff.). Das Mindestalter des Beschwerdeführers liegt gemäss der medizinischen Altersabklärung sowohl bei der zahnärztlichen Untersuchung als auch der Schlüsselbein- respektive Skelettaltersanalyse unter 18 Jahren, wobei in Zusammenschau der Befunde von einem Mindestalter von (...) Jahren auszugehen sei. Diese Erkenntnis sei mit dem vom Beschwerdeführer angegebenen Alter von (...) Jahren unvereinbar, auch wenn die Minderjährigkeit möglich sei. Wie die Vorinstanz zu Recht erwogen hat, lässt sich dem Altersgutachten folglich keine verlässliche Aussage zur Minder- beziehungsweise Volljährigkeit des Beschwerdeführers entnehmen (vgl. BVGE 2018 VI/3 E. 4.2.1 f.).</w:t>
      </w:r>
    </w:p>
    <w:p>
      <w:r>
        <w:rPr>
          <w:b/>
        </w:rPr>
        <w:t>E. 4.2.1</w:t>
      </w:r>
    </w:p>
    <w:p>
      <w:r>
        <w:t>Zum Nachweis der geltend gemachten Minderjährigkeit reichte der Beschwerdeführer seine Tazkira und einen Impfausweis in Kopie ein. Der Tazkira lässt sich der (...) als Geburtsdatum entnehmen. Wie die Vorinstanz zu Recht ausführt, handelt es sich bei der Tazkira nicht um ein fälschungssicheres Dokument, weshalb ihr nur ein verminderter Beweiswert zukommt (vgl. hierzu BVGE 2019 I/6 E. 6.2; 2013/30 E. 4.2.2; je m.w.H.), umso mehr, als der Beschwerdeführer nur eine Kopie eingereicht hat. Der Impfausweis ist kein Identitätsdokument (vgl. dazu Art. 1a Bst. c AsylV1). Abgesehen davon lässt sich diesem kein Geburtsdatum entnehmen. Vor diesem Hintergrund vermag der Beschwerdeführer seine geltend gemachte Minderjährigkeit nicht anhand rechtsgenüglicher Identitätsdokumente zu belegen.</w:t>
      </w:r>
    </w:p>
    <w:p>
      <w:r>
        <w:rPr>
          <w:b/>
        </w:rPr>
        <w:t>E. 4.2.2</w:t>
      </w:r>
    </w:p>
    <w:p>
      <w:r>
        <w:t>Auf dem vom Beschwerdeführer selbst ausgefüllten und unterzeichneten Personalienblatt ist als Geburtsdatum der (...) aufgeführt. Im Rahmen der Erstbefragung UMA gab er als Geburtsdatum den (...) an und bestritt, das Personalienblatt selbst ausgefüllt zu haben. Er erklärte, Analphabet zu sein, führte aber gleichzeitig aus, in Afghanistan sechs Jahre lang die Schule besucht zu haben. Auf die Frage, woher er sein Geburtsdatum kenne, antwortete er, dieses sei dem Impfausweis zu entnehmen. Auf den Hinweis, dass diesem kein Geburtsdatum zu entnehmen sei, führte er aus, es stehe im Impfausweis und in der Tazkira. Darauf aufmerksam gemacht, dass in der Tazkira entgegen seinen Angaben nicht nur das Geburtsjahr, sondern auch der Tag und Monat aufgeführt seien, gab er an, nur zu wissen, dass er im Jahr (...) geboren wurde; den Rest habe er nicht gelesen. Auf die Diskrepanz zwischen seinen Angaben und denjenigen in der Tazkira angesprochen, antwortete er, er könne sich nur an sein Geburtsjahr, nicht aber an den Tag oder Monat erinnern.</w:t>
      </w:r>
    </w:p>
    <w:p>
      <w:r>
        <w:rPr>
          <w:b/>
        </w:rPr>
        <w:t>E. 4.2.3</w:t>
      </w:r>
    </w:p>
    <w:p>
      <w:r>
        <w:t>In Österreich und Frankreich wurde der Beschwerdeführer mit zwei verschiedenen Geburtsdaten ([...] bzw. [...]) registriert. Entgegen seinen Ausführungen wurde die geltend gemachte Minderjährigkeit von den österreichischen Behörden angezweifelt. Gemäss deren Angaben habe eine geplante rechtsmedizinische Altersabklärung nicht durchgeführt werden können, da der Beschwerdeführer vor deren Durchführung untergetaucht sei. Die in Österreich, Frankreich sowie anlässlich einer rechtswidrigen Einreise in die Schweiz im Oktober 2022 erfassten Angaben bestreitet der Beschwerdeführer und führt wiederum an, die entsprechenden Formulare seien von Drittpersonen respektive den Behörden ausgefüllt worden. Beim Vorbringen, die französischen Behörden hätten seine Einwände gegen das registrierte Geburtsdatum nicht berücksichtigt, handelt es sich um eine unbelegte Parteibehauptung.</w:t>
      </w:r>
    </w:p>
    <w:p>
      <w:r>
        <w:rPr>
          <w:b/>
        </w:rPr>
        <w:t>E. 4.2.4</w:t>
      </w:r>
    </w:p>
    <w:p>
      <w:r>
        <w:t>Nach dem Gesagten sind die Aussagen des Beschwerdeführers zu seinem Geburtsdatum nicht glaubhaft. Das einzige objektive Beweismittel, die Kopie der Tazkira, ist von geringem Beweiswert. Umso mehr - und selbst wenn dem Geburtsdatum und Alter in Afghanistan nur eine untergeordnete Rolle zukommen sollte -, hätte es dem Beschwerdeführer oblegen, substantiierte und konsistente Angaben zu seiner Biographie und seinen Personalien zu machen. Indessen sind seine Aussagen vage und weisen Widersprüche auf, insbesondere was seine Schulbildung beziehungsweise den geltend gemachten Analphabetismus betrifft. Die Erklärungen für die Registrierung der unterschiedlichen Geburtsdaten in Österreich, Frankreich und der Schweiz wirken konstruiert. Damit bestehen erhebliche Zweifel an den Angaben des Beschwerdeführers zu seinem Alter und damit auch der geltend gemachten Minderjährigkeit. Es liegt kein Zweifelsfall vor. Die Vorinstanz hat sich entgegen der Auffassung des Beschwerdeführers hinlänglich dazu geäussert, inwiefern seine Angaben zum Geburtsdatum beziehungsweise Alter nicht glaubhaft sind. Eine in diesem Zusammenhang gerügte Verletzung der Begründungspflicht (Art. 29 Abs. 2 BV; 35 Abs. 1 VwVG) ist zu verneinen.</w:t>
      </w:r>
    </w:p>
    <w:p>
      <w:r>
        <w:rPr>
          <w:b/>
        </w:rPr>
        <w:t>E. 4.3</w:t>
      </w:r>
    </w:p>
    <w:p>
      <w:r>
        <w:t>Im Ergebnis konnte der Beschwerdeführer die geltend gemachte Minderjährigkeit nicht zumindest glaubhaft machen. Folglich gelangt Art. 8 Abs. 4 Dublin-III-VO nicht zur Anwendung und der Beschwerdeführer ist vom Wiederaufnahmeverfahren nicht ausgenommen (siehe E. 3.3 hiervor).</w:t>
      </w:r>
    </w:p>
    <w:p>
      <w:r>
        <w:rPr>
          <w:b/>
        </w:rPr>
        <w:t>E. 5</w:t>
      </w:r>
    </w:p>
    <w:p>
      <w:r>
        <w:t>Der Beschwerdeführer bestreitet zu Recht nicht, dass Frankreich grundsätzlich verpflichtet ist, ihn gestützt auf Art. 18 Abs. 1 Bst. d Dublin-III-VO wiederaufzunehmen. Überdies stellt er nicht in Frage, dass das Asylverfahren in Frankreich keine systemischen Schwachstellen im Sinn von Art. 3 Abs. 2 Dublin-III-VO aufweist (vgl. statt vieler: Urteile des BVGer D-4713/2024 vom 5. August 2024 E. 6.2; E-4603/2024 vom 25. Juli 2024 E. 6.2; je m.H.). Bei dieser Ausgangslage erübrigen sich Weiterungen zur geltend gemachten Gefahr einer allfälligen Kettenabschiebung (einlässlich dazu Urteil des EuGH vom 30. November 2023, verbundene Rechtssachen C-228/21, C-254/21, C-297/21, C-315/21 und C-328/21, §§ 129-142 und Ziff. 2 des Dispositivs).</w:t>
      </w:r>
    </w:p>
    <w:p>
      <w:r>
        <w:rPr>
          <w:b/>
        </w:rPr>
        <w:t>E. 6</w:t>
      </w:r>
    </w:p>
    <w:p>
      <w:r>
        <w:t>Schliesslich ist die Ausübung des Selbsteintrittsrechts nach Art. 17 Abs. 1 Dublin-III-VO in Verbindung mit Art. 29a Abs. 3 AsylV 1 zu prüfen.</w:t>
      </w:r>
    </w:p>
    <w:p>
      <w:r>
        <w:rPr>
          <w:b/>
        </w:rPr>
        <w:t>E. 6.1</w:t>
      </w:r>
    </w:p>
    <w:p>
      <w:r>
        <w:t>Der Beschwerdeführer bringt vor, eine Überstellung nach Frankreich führe zu einer Verletzung von Art. 3 EMRK, da er dort von Obdachlosigkeit bedroht sei.</w:t>
      </w:r>
    </w:p>
    <w:p>
      <w:r>
        <w:rPr>
          <w:b/>
        </w:rPr>
        <w:t>E. 6.2</w:t>
      </w:r>
    </w:p>
    <w:p>
      <w:r>
        <w:t>Ein konkretes und ernsthaftes Risiko, die französischen Behörden würden ihren völkerrechtlichen Verpflichtungen nicht nachkommen, hat der Beschwerdeführer nicht dargetan. Sollte er nach seiner Rückkehr nach Frankreich nicht grundrechtskonform untergebracht werden, das heisst insbesondere unter Gewährleistung einer menschenwürdigen Notversorgung, hat er seine ihm gemäss Aufnahmerichtlinie zustehenden Rechte nötigenfalls gerichtlich - allenfalls unter Zuhilfenahme von in Frankreich tätigen Nichtregierungsorganisationen - einzufordern (Art. 26 der Richtlinie des Europäischen Parlaments und des Rates 2013/33/EU vom 26. Juni 2013 zur Festlegung von Normen für die Aufnahme von Personen, die internationalen Schutz beantragen [sog. Aufnahmerichtlinie]). Gestützt auf das Übereinkommen über die Rechte des Kindes (Kinderrechtskonvention [KRK], SR 0.107) vermag er mangels glaubhaft gemachter Minderjährigkeit nichts zu seinen Gunsten abzuleiten (siehe E. 4.3 hiervor).</w:t>
      </w:r>
    </w:p>
    <w:p>
      <w:r>
        <w:rPr>
          <w:b/>
        </w:rPr>
        <w:t>E. 6.3</w:t>
      </w:r>
    </w:p>
    <w:p>
      <w:r>
        <w:t>Somit stehen weder Art. 3 EMRK noch andere völkerrechtliche Bestimmungen einer Überstellung des Beschwerdeführers nach Frankreich entgegen. Die Vorinstanz hat das Selbsteintrittsrecht gemäss Art. 17 Abs. 1 Dublin-III-VO und Art. 29a Abs. 3 AsylV 1 zutreffend nicht ausgeübt. Das ihr zustehende Ermessen hat sie in Vornahme einer hinreichenden Einzelfallprüfung rechtskonform ausgeübt (vgl. BVGE 2015/9 E. 8).</w:t>
      </w:r>
    </w:p>
    <w:p>
      <w:r>
        <w:rPr>
          <w:b/>
        </w:rPr>
        <w:t>E. 7</w:t>
      </w:r>
    </w:p>
    <w:p>
      <w:r>
        <w:t>Nach dem Gesagten ist die Vorinstanz zu Recht auf das Asylgesuch des Beschwerdeführers nicht eingetreten und hat seine Wegweisung nach Frankreich angeordnet. Der rechtserhebliche Sachverhalt ist hinlänglich erstellt, weshalb der nicht näher begründete Eventualantrag auf Rückweisung der Sache an die Vorinstanz zur Neubeurteilung abzuweisen ist (zur zulässigen antizipierten Beweiswürdigung vgl. BGE 148 V 356 E. 7.4; 144 V 361 E. 6.5). Die angefochtene Verfügung erweist sich als rechtmässig (Art. 106 Abs. 1 AsylG). Die Beschwerde ist abzuweisen. Mit dem vorliegenden Urteil fällt der angeordnete Vollzugsstopp dahin. Die Gesuche um Erteilung der aufschiebenden Wirkung der Beschwerde und Unterbringung des Beschwerdeführers in einer Unterkunft für Minderjährige während des Beschwerdeverfahrens sind mit heutigem Entscheid gegenstandslos geworden.</w:t>
      </w:r>
    </w:p>
    <w:p>
      <w:r>
        <w:rPr>
          <w:b/>
        </w:rPr>
        <w:t>E. 8</w:t>
      </w:r>
    </w:p>
    <w:p>
      <w:r>
        <w:t>Die Begehren waren - wie gezeigt - von vornherein aussichtslos, weshalb das Gesuch um Gewährung der unentgeltlichen Prozessführung (Art. 65 Abs. 1 VwVG) abzuweisen ist. Die Verfahrenskosten sind dem unterliegenden Beschwerdeführer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