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F-542/2022 vom 9. Februar 2022</w:t>
      </w:r>
    </w:p>
    <w:p>
      <w:r>
        <w:t>Bundesverwaltungsgericht, 2022-02-09, DE</w:t>
      </w:r>
    </w:p>
    <w:p>
      <w:r>
        <w:rPr>
          <w:b/>
        </w:rPr>
        <w:t xml:space="preserve">Quelle: </w:t>
      </w:r>
      <w:r>
        <w:t>https://mcp.opencaselaw.ch/entscheid/bvger_F-542_2022</w:t>
      </w:r>
    </w:p>
    <w:p>
      <w:r>
        <w:t>FR: TAF F-542/2022 du 9 février 2022</w:t>
      </w:r>
    </w:p>
    <w:p>
      <w:r>
        <w:t>IT: TAF F-542/2022 del 9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w:t>
      </w:r>
    </w:p>
    <w:p>
      <w:r>
        <w:t>F-542/2022 Seite 4 AsylG) ohne Durchführung eines Schriftenwechsels und mit summarischer Begründung zu behandeln ist (Art. 111a Abs. 1 und 2 AsylG).</w:t>
      </w:r>
    </w:p>
    <w:p>
      <w:r>
        <w:rPr>
          <w:b/>
        </w:rPr>
        <w:t>E. 3</w:t>
      </w:r>
    </w:p>
    <w:p>
      <w:r>
        <w:t>Der Beschwerdeführer beantragt, die Sache sei wegen Verletzung des rechtlichen Gehörs an die Vorinstanz zurückzuweisen, ohne dies zu be- gründen. Es ist nicht ersichtlich, inwiefern sein rechtliches Gehör verletzt worden sein soll. Das Begehren stellt eine reine Schutzbehauptung dar. Zudem handelt es sich nicht um eine aus Versehen oder aus Unkenntnis begangene Unterlassung des Beschwerdeführers, die ihn zu einer Nach- besserung im Sinne von Art. 52 Abs. 2 VwVG berechtigen würde. Vielmehr darf bei bewusst und geplant eingebauten Mängeln nicht mit einer Nach- frist zur Verbesserung gerechnet werden. Ein solches Vorgehen verdient keinen Schutz (SEETHALER/PORTMANN, in: Praxiskommentar VwVG, 2. Aufl. 2016, Art. 52 N. 109). Dementsprechend ist auf den Antrag auf Rückweisung der Sache an die Vorinstanz nicht einzutreten.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Die Zuständigkeit Italiens ist somit grundsätzlich ge- geben, was vom Beschwerdeführer nicht bestritten wird.</w:t>
      </w:r>
    </w:p>
    <w:p>
      <w:r>
        <w:t>F-542/2022 Seite 5</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Der Beschwerdeführer macht geltend, er sei von den italienischen Be- hörden schlecht behandelt worden. In Italien gebe es keine Möglichkeiten für Asylsuchende. Sie hätten verwahrlost gelebt und er habe sich Scabies (Krätze) eingefangen.</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w:t>
      </w:r>
    </w:p>
    <w:p>
      <w:r>
        <w:t>F-542/2022 Seite 6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 an- erkennt und schützt. Das italienische Asylverfahren und Aufnahmesystem weisen demnach keine systemischen Mängel auf (Urteil des EGMR S.M.H. gegen die Niederlande vom 17. Mai 2016, Nr. 5868/13, Ziff. 46; Referenz- urteil des BVGer F-6330/2020 E. 9.1; Referenzurteil des BVGer E-962/2019 vom 17. Dezember 2019 E. 6.3). Der Beschwerdeführer bringt nichts vor, das Anlass zur Änderung der Rechtsprechung geben könnte. Eine Anwendung von Art. 3 Abs. 2 Dublin-III-VO ist daher nicht gerechtfer- tigt.</w:t>
      </w:r>
    </w:p>
    <w:p>
      <w:r>
        <w:rPr>
          <w:b/>
        </w:rPr>
        <w:t>E. 6</w:t>
      </w:r>
    </w:p>
    <w:p>
      <w:r>
        <w:t>Der Beschwerdeführer hat bei der Einreise in die Schweiz an Scabies ge- litten. Diese wurde bereits medikamentös behandelt. Ansonsten hat er we- der physische noch psychische Beschwerden. Es ist nicht davon auszuge- hen, dass er eine weitere medizinische Behandlung benötigt. Im Übrigen ist darauf hinzuweisen, dass Italien grundsätzlich über eine ausreichende medizinische Infrastruktur verfügt (Urteile des BVGer F-1479/2021 vom 13. April 2021 E. 8.5; D-2846/2020 vom 16. Juli 2020 E. 6.2.1). Der Zugang für asylsuchende Personen zum italienischen Gesundheitssystem über die Notversorgung hinaus ist derzeit grundsätzlich gewährleistet, auch wenn es in der Praxis zu zeitlichen Verzögerungen kommen kann (Urteil E-962/2019 E. 6.2.7). Es liegen keine Hinweise vor, wonach dem Be- schwerdeführer dort eine adäquate medizinische Behandlung verweigert würde. Folglich droht keine Verletzung von Art. 3 EMRK, weshalb die Schweiz nicht zum Selbsteintritt nach Art. 17 Abs. 1 Dublin-III-VO verpflich- tet ist; auch humanitäre Gründe i.S.v. Art. 29a Abs. 3 AsylV 1 liegen nicht vor.</w:t>
      </w:r>
    </w:p>
    <w:p>
      <w:r>
        <w:rPr>
          <w:b/>
        </w:rPr>
        <w:t>E. 7</w:t>
      </w:r>
    </w:p>
    <w:p>
      <w:r>
        <w:t>Der Beschwerdeführer kann sich sodann nicht auf ein Abhängigkeitsver- hältnis zu seinem in der Schweiz lebenden Bruder gemäss Art. 16 Dublin- III-VO berufen. Art. 16 Abs. 1 Dublin-III-VO setzt voraus, dass zwischen dem Antragsteller und seinen Kindern, Geschwistern oder Elternteilen ein Abhängigkeitsverhältnis wegen schwerer Krankheit, ernsthafter Behinde- rung oder hohen Alters besteht. Ein solches Abhängigkeitsverhältnis hat</w:t>
      </w:r>
    </w:p>
    <w:p>
      <w:r>
        <w:t>F-542/2022 Seite 7 der Beschwerdeführer weder im Dublin-Gespräch noch in der Beschwerde dargetan.</w:t>
      </w:r>
    </w:p>
    <w:p>
      <w:r>
        <w:rPr>
          <w:b/>
        </w:rPr>
        <w:t>E. 8</w:t>
      </w:r>
    </w:p>
    <w:p>
      <w:r>
        <w:t>Nach dem Gesagten ist die Beschwerde abzuweisen, soweit darauf einzu- treten ist. Mit dem vorliegenden Urteil fällt der am 4. Februar 2022 ange- ordnete Vollzugsstopp dahin. Das Gesuch um Erteilung der aufschieben- den Wirkung ist gegenstandslos geworden.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Dem unterliegenden Beschwerdeführer ist keine Partei- entschädigung zuzusprechen (Art. 64 Abs. 1 VwVG e contrario). (Dispositiv nächste Seite)</w:t>
      </w:r>
    </w:p>
    <w:p>
      <w:r>
        <w:t>F-542/2022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