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F-5422/2017 vom 30. September 2019</w:t>
      </w:r>
    </w:p>
    <w:p>
      <w:r>
        <w:t>Bundesverwaltungsgericht, 2019-09-30, DE</w:t>
      </w:r>
    </w:p>
    <w:p>
      <w:r>
        <w:rPr>
          <w:b/>
        </w:rPr>
        <w:t xml:space="preserve">Quelle: </w:t>
      </w:r>
      <w:r>
        <w:t>https://mcp.opencaselaw.ch/entscheid/bvger_F-5422_2017</w:t>
      </w:r>
    </w:p>
    <w:p>
      <w:r>
        <w:t>FR: TAF F-5422/2017 du 30 septembre 2019</w:t>
      </w:r>
    </w:p>
    <w:p>
      <w:r>
        <w:t>IT: TAF F-5422/2017 del 30 settembre 2019</w:t>
      </w:r>
    </w:p>
    <w:p>
      <w:pPr>
        <w:pStyle w:val="Heading2"/>
      </w:pPr>
      <w:r>
        <w:t>Regeste</w:t>
      </w:r>
    </w:p>
    <w:p>
      <w:r>
        <w:t>Reisedokumente für ausländische Personen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1'000.- werden dem Beschwerdeführer auferlegt. Der in gleicher Höhe einbezahlte Kostenvorschuss wird zur Bezahlung dieser Kosten verwendet.</w:t>
      </w:r>
    </w:p>
    <w:p>
      <w:r>
        <w:rPr>
          <w:b/>
        </w:rPr>
        <w:t>E. 3</w:t>
      </w:r>
    </w:p>
    <w:p>
      <w:r>
        <w:t>Dieses Urteil geht an: - den Beschwerdeführer (Einschreiben) - die Vorinstanz (Ref-Nr. [...] / N [...]) - das Amt für Migration des Kantons B._______, ad: (...) Der vorsitzende 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